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9B88" w14:textId="77777777" w:rsidR="00090BD3" w:rsidRDefault="00090BD3" w:rsidP="00E53981">
      <w:pPr>
        <w:jc w:val="center"/>
        <w:rPr>
          <w:rFonts w:ascii="Arial" w:hAnsi="Arial" w:cs="Arial"/>
          <w:b/>
          <w:sz w:val="24"/>
          <w:szCs w:val="24"/>
          <w:u w:val="single"/>
        </w:rPr>
      </w:pPr>
    </w:p>
    <w:p w14:paraId="441B95E3" w14:textId="1D4D1BAE" w:rsidR="00921B75" w:rsidRPr="0009667E" w:rsidRDefault="00E53981" w:rsidP="00E53981">
      <w:pPr>
        <w:jc w:val="center"/>
        <w:rPr>
          <w:rFonts w:ascii="Arial" w:hAnsi="Arial" w:cs="Arial"/>
          <w:b/>
          <w:sz w:val="24"/>
          <w:szCs w:val="24"/>
          <w:u w:val="single"/>
        </w:rPr>
      </w:pPr>
      <w:r w:rsidRPr="0009667E">
        <w:rPr>
          <w:rFonts w:ascii="Arial" w:hAnsi="Arial" w:cs="Arial"/>
          <w:b/>
          <w:sz w:val="24"/>
          <w:szCs w:val="24"/>
          <w:u w:val="single"/>
        </w:rPr>
        <w:t>One Minute Guide to Making Safeguarding Personal (MSP)</w:t>
      </w:r>
    </w:p>
    <w:p w14:paraId="7151FD0E" w14:textId="77777777" w:rsidR="00E53981" w:rsidRPr="0009667E" w:rsidRDefault="00371654" w:rsidP="00371654">
      <w:pPr>
        <w:rPr>
          <w:rFonts w:ascii="Arial" w:hAnsi="Arial" w:cs="Arial"/>
          <w:b/>
          <w:sz w:val="24"/>
          <w:szCs w:val="24"/>
          <w:u w:val="single"/>
        </w:rPr>
      </w:pPr>
      <w:r w:rsidRPr="0009667E">
        <w:rPr>
          <w:rFonts w:ascii="Arial" w:hAnsi="Arial" w:cs="Arial"/>
          <w:b/>
          <w:sz w:val="24"/>
          <w:szCs w:val="24"/>
          <w:u w:val="single"/>
        </w:rPr>
        <w:t>What is M</w:t>
      </w:r>
      <w:r w:rsidR="0098382A" w:rsidRPr="0009667E">
        <w:rPr>
          <w:rFonts w:ascii="Arial" w:hAnsi="Arial" w:cs="Arial"/>
          <w:b/>
          <w:sz w:val="24"/>
          <w:szCs w:val="24"/>
          <w:u w:val="single"/>
        </w:rPr>
        <w:t xml:space="preserve">aking </w:t>
      </w:r>
      <w:r w:rsidRPr="0009667E">
        <w:rPr>
          <w:rFonts w:ascii="Arial" w:hAnsi="Arial" w:cs="Arial"/>
          <w:b/>
          <w:sz w:val="24"/>
          <w:szCs w:val="24"/>
          <w:u w:val="single"/>
        </w:rPr>
        <w:t>S</w:t>
      </w:r>
      <w:r w:rsidR="0098382A" w:rsidRPr="0009667E">
        <w:rPr>
          <w:rFonts w:ascii="Arial" w:hAnsi="Arial" w:cs="Arial"/>
          <w:b/>
          <w:sz w:val="24"/>
          <w:szCs w:val="24"/>
          <w:u w:val="single"/>
        </w:rPr>
        <w:t xml:space="preserve">afeguarding </w:t>
      </w:r>
      <w:r w:rsidRPr="0009667E">
        <w:rPr>
          <w:rFonts w:ascii="Arial" w:hAnsi="Arial" w:cs="Arial"/>
          <w:b/>
          <w:sz w:val="24"/>
          <w:szCs w:val="24"/>
          <w:u w:val="single"/>
        </w:rPr>
        <w:t>P</w:t>
      </w:r>
      <w:r w:rsidR="0098382A" w:rsidRPr="0009667E">
        <w:rPr>
          <w:rFonts w:ascii="Arial" w:hAnsi="Arial" w:cs="Arial"/>
          <w:b/>
          <w:sz w:val="24"/>
          <w:szCs w:val="24"/>
          <w:u w:val="single"/>
        </w:rPr>
        <w:t>ersonal</w:t>
      </w:r>
      <w:r w:rsidRPr="0009667E">
        <w:rPr>
          <w:rFonts w:ascii="Arial" w:hAnsi="Arial" w:cs="Arial"/>
          <w:b/>
          <w:sz w:val="24"/>
          <w:szCs w:val="24"/>
          <w:u w:val="single"/>
        </w:rPr>
        <w:t>?</w:t>
      </w:r>
    </w:p>
    <w:p w14:paraId="7165E8E3" w14:textId="77777777" w:rsidR="00634ABB" w:rsidRPr="0009667E" w:rsidRDefault="00634ABB" w:rsidP="00634ABB">
      <w:pPr>
        <w:rPr>
          <w:rFonts w:ascii="Arial" w:hAnsi="Arial" w:cs="Arial"/>
          <w:b/>
          <w:sz w:val="24"/>
          <w:szCs w:val="24"/>
        </w:rPr>
      </w:pPr>
      <w:r w:rsidRPr="0009667E">
        <w:rPr>
          <w:rFonts w:ascii="Arial" w:hAnsi="Arial" w:cs="Arial"/>
          <w:sz w:val="24"/>
          <w:szCs w:val="24"/>
        </w:rPr>
        <w:t xml:space="preserve">Making Safeguarding Personal (MSP) enables safeguarding to be done with, not to, people – </w:t>
      </w:r>
      <w:r w:rsidRPr="0009667E">
        <w:rPr>
          <w:rFonts w:ascii="Arial" w:hAnsi="Arial" w:cs="Arial"/>
          <w:b/>
          <w:sz w:val="24"/>
          <w:szCs w:val="24"/>
        </w:rPr>
        <w:t>‘no decision about me, without me’.</w:t>
      </w:r>
    </w:p>
    <w:p w14:paraId="6DA42E65" w14:textId="77777777" w:rsidR="00647166" w:rsidRPr="0009667E" w:rsidRDefault="00AA6A87" w:rsidP="00647166">
      <w:pPr>
        <w:rPr>
          <w:rFonts w:ascii="Arial" w:hAnsi="Arial" w:cs="Arial"/>
          <w:sz w:val="24"/>
          <w:szCs w:val="24"/>
        </w:rPr>
      </w:pPr>
      <w:r w:rsidRPr="0009667E">
        <w:rPr>
          <w:rFonts w:ascii="Arial" w:hAnsi="Arial" w:cs="Arial"/>
          <w:sz w:val="24"/>
          <w:szCs w:val="24"/>
        </w:rPr>
        <w:t>MSP</w:t>
      </w:r>
      <w:r w:rsidR="00634ABB" w:rsidRPr="0009667E">
        <w:rPr>
          <w:rFonts w:ascii="Arial" w:hAnsi="Arial" w:cs="Arial"/>
          <w:sz w:val="24"/>
          <w:szCs w:val="24"/>
        </w:rPr>
        <w:t xml:space="preserve"> is an initiative which aims to develop a person-centred and outcome focused approach to safeguarding w</w:t>
      </w:r>
      <w:bookmarkStart w:id="0" w:name="_GoBack"/>
      <w:bookmarkEnd w:id="0"/>
      <w:r w:rsidR="00634ABB" w:rsidRPr="0009667E">
        <w:rPr>
          <w:rFonts w:ascii="Arial" w:hAnsi="Arial" w:cs="Arial"/>
          <w:sz w:val="24"/>
          <w:szCs w:val="24"/>
        </w:rPr>
        <w:t xml:space="preserve">ork. The adult concerned must always be at the centre of </w:t>
      </w:r>
      <w:r w:rsidR="003E4A03" w:rsidRPr="0009667E">
        <w:rPr>
          <w:rFonts w:ascii="Arial" w:hAnsi="Arial" w:cs="Arial"/>
          <w:sz w:val="24"/>
          <w:szCs w:val="24"/>
        </w:rPr>
        <w:t>adult safeguarding enquiries, and</w:t>
      </w:r>
      <w:r w:rsidR="00634ABB" w:rsidRPr="0009667E">
        <w:rPr>
          <w:rFonts w:ascii="Arial" w:hAnsi="Arial" w:cs="Arial"/>
          <w:sz w:val="24"/>
          <w:szCs w:val="24"/>
        </w:rPr>
        <w:t xml:space="preserve"> their wishes and views sought at the earliest opportunity. </w:t>
      </w:r>
      <w:r w:rsidR="00647166" w:rsidRPr="0009667E">
        <w:rPr>
          <w:rFonts w:ascii="Arial" w:hAnsi="Arial" w:cs="Arial"/>
          <w:sz w:val="24"/>
          <w:szCs w:val="24"/>
        </w:rPr>
        <w:t xml:space="preserve">This short film, </w:t>
      </w:r>
      <w:hyperlink r:id="rId7" w:history="1">
        <w:r w:rsidR="00647166" w:rsidRPr="0009667E">
          <w:rPr>
            <w:rStyle w:val="Hyperlink"/>
            <w:rFonts w:ascii="Arial" w:hAnsi="Arial" w:cs="Arial"/>
            <w:sz w:val="24"/>
            <w:szCs w:val="24"/>
          </w:rPr>
          <w:t>‘Risking Happiness’</w:t>
        </w:r>
      </w:hyperlink>
      <w:r w:rsidR="00647166" w:rsidRPr="0009667E">
        <w:rPr>
          <w:rFonts w:ascii="Arial" w:hAnsi="Arial" w:cs="Arial"/>
          <w:sz w:val="24"/>
          <w:szCs w:val="24"/>
        </w:rPr>
        <w:t xml:space="preserve"> is a good example of how individuals thoughts and wishes can sometimes be overlooked during safeguarding, and highlights the negative effect this has on the individual (</w:t>
      </w:r>
      <w:r w:rsidR="00647166" w:rsidRPr="0009667E">
        <w:rPr>
          <w:rFonts w:ascii="Arial" w:hAnsi="Arial" w:cs="Arial"/>
          <w:i/>
          <w:sz w:val="24"/>
          <w:szCs w:val="24"/>
        </w:rPr>
        <w:t>Gloucestershire CCG and Gloucestershire County Council).</w:t>
      </w:r>
      <w:r w:rsidR="00647166" w:rsidRPr="0009667E">
        <w:rPr>
          <w:rFonts w:ascii="Arial" w:hAnsi="Arial" w:cs="Arial"/>
          <w:sz w:val="24"/>
          <w:szCs w:val="24"/>
        </w:rPr>
        <w:t xml:space="preserve"> </w:t>
      </w:r>
    </w:p>
    <w:p w14:paraId="4E94C21D" w14:textId="77777777" w:rsidR="00634ABB" w:rsidRPr="0009667E" w:rsidRDefault="00634ABB" w:rsidP="00634ABB">
      <w:pPr>
        <w:rPr>
          <w:rFonts w:ascii="Arial" w:hAnsi="Arial" w:cs="Arial"/>
          <w:b/>
          <w:i/>
          <w:sz w:val="24"/>
          <w:szCs w:val="24"/>
        </w:rPr>
      </w:pPr>
      <w:r w:rsidRPr="0009667E">
        <w:rPr>
          <w:rFonts w:ascii="Arial" w:hAnsi="Arial" w:cs="Arial"/>
          <w:b/>
          <w:i/>
          <w:sz w:val="24"/>
          <w:szCs w:val="24"/>
        </w:rPr>
        <w:t>When considering an individual’s wishes and thoughts, you must also consider:</w:t>
      </w:r>
    </w:p>
    <w:p w14:paraId="3BE7C241" w14:textId="77777777" w:rsidR="00634ABB" w:rsidRPr="0009667E" w:rsidRDefault="00634ABB" w:rsidP="00634ABB">
      <w:pPr>
        <w:rPr>
          <w:rFonts w:ascii="Arial" w:hAnsi="Arial" w:cs="Arial"/>
          <w:sz w:val="24"/>
          <w:szCs w:val="24"/>
          <w:u w:val="single"/>
        </w:rPr>
      </w:pPr>
      <w:r w:rsidRPr="0009667E">
        <w:rPr>
          <w:rFonts w:ascii="Arial" w:hAnsi="Arial" w:cs="Arial"/>
          <w:sz w:val="24"/>
          <w:szCs w:val="24"/>
          <w:u w:val="single"/>
        </w:rPr>
        <w:t>Positive Risk Taking</w:t>
      </w:r>
    </w:p>
    <w:p w14:paraId="45140AC9" w14:textId="77777777" w:rsidR="00634ABB" w:rsidRPr="0009667E" w:rsidRDefault="00634ABB" w:rsidP="00634ABB">
      <w:pPr>
        <w:rPr>
          <w:rFonts w:ascii="Arial" w:hAnsi="Arial" w:cs="Arial"/>
          <w:sz w:val="24"/>
          <w:szCs w:val="24"/>
        </w:rPr>
      </w:pPr>
      <w:r w:rsidRPr="0009667E">
        <w:rPr>
          <w:rFonts w:ascii="Arial" w:hAnsi="Arial" w:cs="Arial"/>
          <w:sz w:val="24"/>
          <w:szCs w:val="24"/>
        </w:rPr>
        <w:t>As individuals we all have the ability &amp; choice to take risks. The principle of making an ‘unwise decision’ is enshrined in the Mental Capacity Act 2005.</w:t>
      </w:r>
    </w:p>
    <w:p w14:paraId="2CEE8C53" w14:textId="77777777" w:rsidR="00634ABB" w:rsidRPr="0009667E" w:rsidRDefault="00634ABB" w:rsidP="00634ABB">
      <w:pPr>
        <w:rPr>
          <w:rFonts w:ascii="Arial" w:hAnsi="Arial" w:cs="Arial"/>
          <w:sz w:val="24"/>
          <w:szCs w:val="24"/>
          <w:u w:val="single"/>
        </w:rPr>
      </w:pPr>
      <w:r w:rsidRPr="0009667E">
        <w:rPr>
          <w:rFonts w:ascii="Arial" w:hAnsi="Arial" w:cs="Arial"/>
          <w:sz w:val="24"/>
          <w:szCs w:val="24"/>
          <w:u w:val="single"/>
        </w:rPr>
        <w:t xml:space="preserve">Supported Decision Making </w:t>
      </w:r>
    </w:p>
    <w:p w14:paraId="568A14AF" w14:textId="77777777" w:rsidR="00634ABB" w:rsidRPr="0009667E" w:rsidRDefault="00634ABB" w:rsidP="00634ABB">
      <w:pPr>
        <w:rPr>
          <w:rFonts w:ascii="Arial" w:hAnsi="Arial" w:cs="Arial"/>
          <w:sz w:val="24"/>
          <w:szCs w:val="24"/>
        </w:rPr>
      </w:pPr>
      <w:r w:rsidRPr="0009667E">
        <w:rPr>
          <w:rFonts w:ascii="Arial" w:hAnsi="Arial" w:cs="Arial"/>
          <w:sz w:val="24"/>
          <w:szCs w:val="24"/>
        </w:rPr>
        <w:t>A Care Act Advocate (CAA) must be appointed if the adult has significant difficulty following the process and has no family or friends to support them. If they lack capacity, an Independent Mental Capacity Advocate (IMCA) must be instructed to support them through the safeguarding intervention. Supported decision making focuses on the outcomes the person wishes to achieve, what is working in their lives and what is not. There should be a mechanism to clearly guide and record the ‘conversation’ about choice and risk.</w:t>
      </w:r>
    </w:p>
    <w:p w14:paraId="0A4850D3" w14:textId="77777777" w:rsidR="00634ABB" w:rsidRPr="0009667E" w:rsidRDefault="00634ABB" w:rsidP="00634ABB">
      <w:pPr>
        <w:rPr>
          <w:rFonts w:ascii="Arial" w:hAnsi="Arial" w:cs="Arial"/>
          <w:sz w:val="24"/>
          <w:szCs w:val="24"/>
          <w:u w:val="single"/>
        </w:rPr>
      </w:pPr>
      <w:r w:rsidRPr="0009667E">
        <w:rPr>
          <w:rFonts w:ascii="Arial" w:hAnsi="Arial" w:cs="Arial"/>
          <w:sz w:val="24"/>
          <w:szCs w:val="24"/>
          <w:u w:val="single"/>
        </w:rPr>
        <w:t>Freedom from Undue Influence.</w:t>
      </w:r>
    </w:p>
    <w:p w14:paraId="13515A90" w14:textId="77777777" w:rsidR="00634ABB" w:rsidRPr="0009667E" w:rsidRDefault="00634ABB" w:rsidP="00634ABB">
      <w:pPr>
        <w:rPr>
          <w:rFonts w:ascii="Arial" w:hAnsi="Arial" w:cs="Arial"/>
          <w:sz w:val="24"/>
          <w:szCs w:val="24"/>
        </w:rPr>
      </w:pPr>
      <w:r w:rsidRPr="0009667E">
        <w:rPr>
          <w:rFonts w:ascii="Arial" w:hAnsi="Arial" w:cs="Arial"/>
          <w:sz w:val="24"/>
          <w:szCs w:val="24"/>
        </w:rPr>
        <w:t>A person might decline an intervention because of undue influence or coercion, in which case, such a choice should not be taken at face value. Support may be required to help a person make a decision free from such influence.</w:t>
      </w:r>
    </w:p>
    <w:p w14:paraId="330C0AB9" w14:textId="77777777" w:rsidR="00647166" w:rsidRPr="0009667E" w:rsidRDefault="00647166" w:rsidP="00647166">
      <w:pPr>
        <w:rPr>
          <w:rFonts w:ascii="Arial" w:hAnsi="Arial" w:cs="Arial"/>
          <w:b/>
          <w:sz w:val="24"/>
          <w:szCs w:val="24"/>
          <w:u w:val="single"/>
        </w:rPr>
      </w:pPr>
      <w:r w:rsidRPr="0009667E">
        <w:rPr>
          <w:rFonts w:ascii="Arial" w:hAnsi="Arial" w:cs="Arial"/>
          <w:b/>
          <w:sz w:val="24"/>
          <w:szCs w:val="24"/>
          <w:u w:val="single"/>
        </w:rPr>
        <w:t>Involving the Individual</w:t>
      </w:r>
    </w:p>
    <w:p w14:paraId="70042ED3" w14:textId="77777777" w:rsidR="00647166" w:rsidRPr="0009667E" w:rsidRDefault="00647166" w:rsidP="00647166">
      <w:pPr>
        <w:rPr>
          <w:rFonts w:ascii="Arial" w:hAnsi="Arial" w:cs="Arial"/>
          <w:sz w:val="24"/>
          <w:szCs w:val="24"/>
        </w:rPr>
      </w:pPr>
      <w:r w:rsidRPr="0009667E">
        <w:rPr>
          <w:rFonts w:ascii="Arial" w:hAnsi="Arial" w:cs="Arial"/>
          <w:sz w:val="24"/>
          <w:szCs w:val="24"/>
        </w:rPr>
        <w:t>When evaluating whether MSP was properly applied, recommended questions for the individual about their experience of the safeguarding journey are:</w:t>
      </w:r>
    </w:p>
    <w:p w14:paraId="6B8549C3" w14:textId="77777777" w:rsidR="00647166" w:rsidRPr="0009667E" w:rsidRDefault="00647166" w:rsidP="00647166">
      <w:pPr>
        <w:rPr>
          <w:rFonts w:ascii="Arial" w:hAnsi="Arial" w:cs="Arial"/>
          <w:i/>
          <w:sz w:val="24"/>
          <w:szCs w:val="24"/>
        </w:rPr>
      </w:pPr>
      <w:r w:rsidRPr="0009667E">
        <w:rPr>
          <w:rFonts w:ascii="Arial" w:hAnsi="Arial" w:cs="Arial"/>
          <w:i/>
          <w:sz w:val="24"/>
          <w:szCs w:val="24"/>
        </w:rPr>
        <w:lastRenderedPageBreak/>
        <w:t>Did you understand why people did what they did to try and keep you safe?</w:t>
      </w:r>
    </w:p>
    <w:p w14:paraId="736BBA71" w14:textId="77777777" w:rsidR="00647166" w:rsidRPr="0009667E" w:rsidRDefault="00647166" w:rsidP="00647166">
      <w:pPr>
        <w:rPr>
          <w:rFonts w:ascii="Arial" w:hAnsi="Arial" w:cs="Arial"/>
          <w:i/>
          <w:sz w:val="24"/>
          <w:szCs w:val="24"/>
        </w:rPr>
      </w:pPr>
      <w:r w:rsidRPr="0009667E">
        <w:rPr>
          <w:rFonts w:ascii="Arial" w:hAnsi="Arial" w:cs="Arial"/>
          <w:i/>
          <w:sz w:val="24"/>
          <w:szCs w:val="24"/>
        </w:rPr>
        <w:t>Do you feel listened to during conversations and meetings with people about helping you feel safe?</w:t>
      </w:r>
    </w:p>
    <w:p w14:paraId="06DC83F4" w14:textId="77777777" w:rsidR="00647166" w:rsidRPr="0009667E" w:rsidRDefault="00647166" w:rsidP="00647166">
      <w:pPr>
        <w:rPr>
          <w:rFonts w:ascii="Arial" w:hAnsi="Arial" w:cs="Arial"/>
          <w:i/>
          <w:sz w:val="24"/>
          <w:szCs w:val="24"/>
        </w:rPr>
      </w:pPr>
      <w:r w:rsidRPr="0009667E">
        <w:rPr>
          <w:rFonts w:ascii="Arial" w:hAnsi="Arial" w:cs="Arial"/>
          <w:i/>
          <w:sz w:val="24"/>
          <w:szCs w:val="24"/>
        </w:rPr>
        <w:t>How happy are you with the end result of what people did to keep you safe?</w:t>
      </w:r>
    </w:p>
    <w:p w14:paraId="54BEE7B4" w14:textId="77777777" w:rsidR="00647166" w:rsidRPr="0009667E" w:rsidRDefault="00647166" w:rsidP="00647166">
      <w:pPr>
        <w:rPr>
          <w:rFonts w:ascii="Arial" w:hAnsi="Arial" w:cs="Arial"/>
          <w:i/>
          <w:sz w:val="24"/>
          <w:szCs w:val="24"/>
        </w:rPr>
      </w:pPr>
      <w:r w:rsidRPr="0009667E">
        <w:rPr>
          <w:rFonts w:ascii="Arial" w:hAnsi="Arial" w:cs="Arial"/>
          <w:i/>
          <w:sz w:val="24"/>
          <w:szCs w:val="24"/>
        </w:rPr>
        <w:t xml:space="preserve">Do you feel safer now because of the help from people dealing with your concern? </w:t>
      </w:r>
    </w:p>
    <w:p w14:paraId="3ACBC9D8" w14:textId="77777777" w:rsidR="00647166" w:rsidRPr="0009667E" w:rsidRDefault="00647166" w:rsidP="00634ABB">
      <w:pPr>
        <w:rPr>
          <w:rFonts w:ascii="Arial" w:hAnsi="Arial" w:cs="Arial"/>
          <w:sz w:val="24"/>
          <w:szCs w:val="24"/>
        </w:rPr>
      </w:pPr>
    </w:p>
    <w:p w14:paraId="370B3B10" w14:textId="77777777" w:rsidR="00647166" w:rsidRPr="0009667E" w:rsidRDefault="00647166" w:rsidP="00AA6A87">
      <w:pPr>
        <w:rPr>
          <w:rFonts w:ascii="Arial" w:hAnsi="Arial" w:cs="Arial"/>
          <w:b/>
          <w:sz w:val="24"/>
          <w:szCs w:val="24"/>
          <w:u w:val="single"/>
        </w:rPr>
      </w:pPr>
      <w:r w:rsidRPr="0009667E">
        <w:rPr>
          <w:rFonts w:ascii="Arial" w:hAnsi="Arial" w:cs="Arial"/>
          <w:b/>
          <w:sz w:val="24"/>
          <w:szCs w:val="24"/>
          <w:u w:val="single"/>
        </w:rPr>
        <w:t>What Does this mean for Safeguarding?</w:t>
      </w:r>
    </w:p>
    <w:p w14:paraId="44E59540" w14:textId="77777777" w:rsidR="00AA6A87" w:rsidRPr="0009667E" w:rsidRDefault="00AA6A87" w:rsidP="00AA6A87">
      <w:pPr>
        <w:rPr>
          <w:rFonts w:ascii="Arial" w:hAnsi="Arial" w:cs="Arial"/>
          <w:sz w:val="24"/>
          <w:szCs w:val="24"/>
        </w:rPr>
      </w:pPr>
      <w:r w:rsidRPr="0009667E">
        <w:rPr>
          <w:rFonts w:ascii="Arial" w:hAnsi="Arial" w:cs="Arial"/>
          <w:sz w:val="24"/>
          <w:szCs w:val="24"/>
        </w:rPr>
        <w:t>MSP is about engaging with people about the outcomes they want at the beginning and middle of working with them, and then ascertaining the extent to which those outcomes were realised at the end. MSP means adult safeguarding:</w:t>
      </w:r>
    </w:p>
    <w:p w14:paraId="369B9A2F" w14:textId="77777777" w:rsidR="00AA6A87" w:rsidRPr="0009667E" w:rsidRDefault="00AA6A87" w:rsidP="00AA6A87">
      <w:pPr>
        <w:rPr>
          <w:rFonts w:ascii="Arial" w:hAnsi="Arial" w:cs="Arial"/>
          <w:sz w:val="24"/>
          <w:szCs w:val="24"/>
        </w:rPr>
      </w:pPr>
      <w:r w:rsidRPr="0009667E">
        <w:rPr>
          <w:rFonts w:ascii="Arial" w:hAnsi="Arial" w:cs="Arial"/>
          <w:sz w:val="24"/>
          <w:szCs w:val="24"/>
        </w:rPr>
        <w:t>•</w:t>
      </w:r>
      <w:r w:rsidRPr="0009667E">
        <w:rPr>
          <w:rFonts w:ascii="Arial" w:hAnsi="Arial" w:cs="Arial"/>
          <w:sz w:val="24"/>
          <w:szCs w:val="24"/>
        </w:rPr>
        <w:tab/>
        <w:t>is person-led</w:t>
      </w:r>
    </w:p>
    <w:p w14:paraId="0A76C010" w14:textId="77777777" w:rsidR="00AA6A87" w:rsidRPr="0009667E" w:rsidRDefault="00AA6A87" w:rsidP="00AA6A87">
      <w:pPr>
        <w:rPr>
          <w:rFonts w:ascii="Arial" w:hAnsi="Arial" w:cs="Arial"/>
          <w:sz w:val="24"/>
          <w:szCs w:val="24"/>
        </w:rPr>
      </w:pPr>
      <w:r w:rsidRPr="0009667E">
        <w:rPr>
          <w:rFonts w:ascii="Arial" w:hAnsi="Arial" w:cs="Arial"/>
          <w:sz w:val="24"/>
          <w:szCs w:val="24"/>
        </w:rPr>
        <w:t>•</w:t>
      </w:r>
      <w:r w:rsidRPr="0009667E">
        <w:rPr>
          <w:rFonts w:ascii="Arial" w:hAnsi="Arial" w:cs="Arial"/>
          <w:sz w:val="24"/>
          <w:szCs w:val="24"/>
        </w:rPr>
        <w:tab/>
        <w:t>is outcome-focused</w:t>
      </w:r>
    </w:p>
    <w:p w14:paraId="08B2E821" w14:textId="77777777" w:rsidR="00AA6A87" w:rsidRPr="0009667E" w:rsidRDefault="00AA6A87" w:rsidP="00AA6A87">
      <w:pPr>
        <w:rPr>
          <w:rFonts w:ascii="Arial" w:hAnsi="Arial" w:cs="Arial"/>
          <w:sz w:val="24"/>
          <w:szCs w:val="24"/>
        </w:rPr>
      </w:pPr>
      <w:r w:rsidRPr="0009667E">
        <w:rPr>
          <w:rFonts w:ascii="Arial" w:hAnsi="Arial" w:cs="Arial"/>
          <w:sz w:val="24"/>
          <w:szCs w:val="24"/>
        </w:rPr>
        <w:t>•</w:t>
      </w:r>
      <w:r w:rsidRPr="0009667E">
        <w:rPr>
          <w:rFonts w:ascii="Arial" w:hAnsi="Arial" w:cs="Arial"/>
          <w:sz w:val="24"/>
          <w:szCs w:val="24"/>
        </w:rPr>
        <w:tab/>
        <w:t>engages the person and enhances involvement,</w:t>
      </w:r>
    </w:p>
    <w:p w14:paraId="527FE3F3" w14:textId="77777777" w:rsidR="00AA6A87" w:rsidRPr="0009667E" w:rsidRDefault="00AA6A87" w:rsidP="00AA6A87">
      <w:pPr>
        <w:rPr>
          <w:rFonts w:ascii="Arial" w:hAnsi="Arial" w:cs="Arial"/>
          <w:sz w:val="24"/>
          <w:szCs w:val="24"/>
        </w:rPr>
      </w:pPr>
      <w:r w:rsidRPr="0009667E">
        <w:rPr>
          <w:rFonts w:ascii="Arial" w:hAnsi="Arial" w:cs="Arial"/>
          <w:sz w:val="24"/>
          <w:szCs w:val="24"/>
        </w:rPr>
        <w:t>•</w:t>
      </w:r>
      <w:r w:rsidRPr="0009667E">
        <w:rPr>
          <w:rFonts w:ascii="Arial" w:hAnsi="Arial" w:cs="Arial"/>
          <w:sz w:val="24"/>
          <w:szCs w:val="24"/>
        </w:rPr>
        <w:tab/>
        <w:t>choice and control</w:t>
      </w:r>
    </w:p>
    <w:p w14:paraId="0F58B054" w14:textId="77777777" w:rsidR="00AA6A87" w:rsidRPr="0009667E" w:rsidRDefault="00AA6A87" w:rsidP="00AA6A87">
      <w:pPr>
        <w:rPr>
          <w:rFonts w:ascii="Arial" w:hAnsi="Arial" w:cs="Arial"/>
          <w:sz w:val="24"/>
          <w:szCs w:val="24"/>
        </w:rPr>
      </w:pPr>
      <w:r w:rsidRPr="0009667E">
        <w:rPr>
          <w:rFonts w:ascii="Arial" w:hAnsi="Arial" w:cs="Arial"/>
          <w:sz w:val="24"/>
          <w:szCs w:val="24"/>
        </w:rPr>
        <w:t>•</w:t>
      </w:r>
      <w:r w:rsidRPr="0009667E">
        <w:rPr>
          <w:rFonts w:ascii="Arial" w:hAnsi="Arial" w:cs="Arial"/>
          <w:sz w:val="24"/>
          <w:szCs w:val="24"/>
        </w:rPr>
        <w:tab/>
        <w:t>Improves quality of life, wellbeing and safety</w:t>
      </w:r>
    </w:p>
    <w:p w14:paraId="58715231" w14:textId="77777777" w:rsidR="00AA6A87" w:rsidRPr="0009667E" w:rsidRDefault="00AA6A87" w:rsidP="00AA6A87">
      <w:pPr>
        <w:rPr>
          <w:rFonts w:ascii="Arial" w:hAnsi="Arial" w:cs="Arial"/>
          <w:sz w:val="24"/>
          <w:szCs w:val="24"/>
        </w:rPr>
      </w:pPr>
      <w:r w:rsidRPr="0009667E">
        <w:rPr>
          <w:rFonts w:ascii="Arial" w:hAnsi="Arial" w:cs="Arial"/>
          <w:sz w:val="24"/>
          <w:szCs w:val="24"/>
        </w:rPr>
        <w:t>•</w:t>
      </w:r>
      <w:r w:rsidRPr="0009667E">
        <w:rPr>
          <w:rFonts w:ascii="Arial" w:hAnsi="Arial" w:cs="Arial"/>
          <w:sz w:val="24"/>
          <w:szCs w:val="24"/>
        </w:rPr>
        <w:tab/>
        <w:t>shifts the focus from process to people</w:t>
      </w:r>
    </w:p>
    <w:p w14:paraId="0E6B0D2D" w14:textId="77777777" w:rsidR="00AA6A87" w:rsidRPr="0009667E" w:rsidRDefault="00AA6A87" w:rsidP="00AA6A87">
      <w:pPr>
        <w:rPr>
          <w:rFonts w:ascii="Arial" w:hAnsi="Arial" w:cs="Arial"/>
          <w:sz w:val="24"/>
          <w:szCs w:val="24"/>
        </w:rPr>
      </w:pPr>
      <w:r w:rsidRPr="0009667E">
        <w:rPr>
          <w:rFonts w:ascii="Arial" w:hAnsi="Arial" w:cs="Arial"/>
          <w:sz w:val="24"/>
          <w:szCs w:val="24"/>
        </w:rPr>
        <w:t>Making Safeguarding Personal:</w:t>
      </w:r>
    </w:p>
    <w:p w14:paraId="3BE535FD" w14:textId="77777777" w:rsidR="00AA6A87" w:rsidRPr="0009667E" w:rsidRDefault="00AA6A87" w:rsidP="00AA6A87">
      <w:pPr>
        <w:rPr>
          <w:rFonts w:ascii="Arial" w:hAnsi="Arial" w:cs="Arial"/>
          <w:sz w:val="24"/>
          <w:szCs w:val="24"/>
        </w:rPr>
      </w:pPr>
      <w:r w:rsidRPr="0009667E">
        <w:rPr>
          <w:rFonts w:ascii="Arial" w:hAnsi="Arial" w:cs="Arial"/>
          <w:sz w:val="24"/>
          <w:szCs w:val="24"/>
        </w:rPr>
        <w:t>•</w:t>
      </w:r>
      <w:r w:rsidRPr="0009667E">
        <w:rPr>
          <w:rFonts w:ascii="Arial" w:hAnsi="Arial" w:cs="Arial"/>
          <w:sz w:val="24"/>
          <w:szCs w:val="24"/>
        </w:rPr>
        <w:tab/>
        <w:t xml:space="preserve">Is NOT to be seen in the context of a formal safeguarding enquiry (Care Act, 2014, Section 42 </w:t>
      </w:r>
      <w:r w:rsidRPr="0009667E">
        <w:rPr>
          <w:rFonts w:ascii="Arial" w:hAnsi="Arial" w:cs="Arial"/>
          <w:sz w:val="24"/>
          <w:szCs w:val="24"/>
        </w:rPr>
        <w:tab/>
        <w:t xml:space="preserve">enquiry) </w:t>
      </w:r>
    </w:p>
    <w:p w14:paraId="6354FF0E" w14:textId="77777777" w:rsidR="00AA6A87" w:rsidRPr="0009667E" w:rsidRDefault="00AA6A87" w:rsidP="00AA6A87">
      <w:pPr>
        <w:rPr>
          <w:rFonts w:ascii="Arial" w:hAnsi="Arial" w:cs="Arial"/>
          <w:sz w:val="24"/>
          <w:szCs w:val="24"/>
        </w:rPr>
      </w:pPr>
      <w:r w:rsidRPr="0009667E">
        <w:rPr>
          <w:rFonts w:ascii="Arial" w:hAnsi="Arial" w:cs="Arial"/>
          <w:sz w:val="24"/>
          <w:szCs w:val="24"/>
        </w:rPr>
        <w:t>•</w:t>
      </w:r>
      <w:r w:rsidRPr="0009667E">
        <w:rPr>
          <w:rFonts w:ascii="Arial" w:hAnsi="Arial" w:cs="Arial"/>
          <w:sz w:val="24"/>
          <w:szCs w:val="24"/>
        </w:rPr>
        <w:tab/>
        <w:t>Is NOT about a focus on personalised front line practice</w:t>
      </w:r>
    </w:p>
    <w:p w14:paraId="4EC99540" w14:textId="77777777" w:rsidR="00634ABB" w:rsidRPr="0009667E" w:rsidRDefault="00634ABB" w:rsidP="00634ABB">
      <w:pPr>
        <w:rPr>
          <w:rFonts w:ascii="Arial" w:hAnsi="Arial" w:cs="Arial"/>
          <w:sz w:val="24"/>
          <w:szCs w:val="24"/>
        </w:rPr>
      </w:pPr>
      <w:r w:rsidRPr="0009667E">
        <w:rPr>
          <w:rFonts w:ascii="Arial" w:hAnsi="Arial" w:cs="Arial"/>
          <w:sz w:val="24"/>
          <w:szCs w:val="24"/>
        </w:rPr>
        <w:t xml:space="preserve">The Care Act 2014 guidance requires adult safeguarding practice to be </w:t>
      </w:r>
      <w:r w:rsidR="003E4A03" w:rsidRPr="0009667E">
        <w:rPr>
          <w:rFonts w:ascii="Arial" w:hAnsi="Arial" w:cs="Arial"/>
          <w:sz w:val="24"/>
          <w:szCs w:val="24"/>
        </w:rPr>
        <w:t xml:space="preserve">person led and outcome focused, incorporating MSP as the recommended approach to safeguarding alongside the 6 safeguarding principles: </w:t>
      </w:r>
    </w:p>
    <w:p w14:paraId="266F97EF" w14:textId="77777777" w:rsidR="00427120" w:rsidRPr="0009667E" w:rsidRDefault="00427120" w:rsidP="00427120">
      <w:pPr>
        <w:rPr>
          <w:rFonts w:ascii="Arial" w:hAnsi="Arial" w:cs="Arial"/>
          <w:b/>
          <w:i/>
          <w:sz w:val="24"/>
          <w:szCs w:val="24"/>
        </w:rPr>
      </w:pPr>
      <w:r w:rsidRPr="0009667E">
        <w:rPr>
          <w:rFonts w:ascii="Arial" w:hAnsi="Arial" w:cs="Arial"/>
          <w:b/>
          <w:i/>
          <w:sz w:val="24"/>
          <w:szCs w:val="24"/>
        </w:rPr>
        <w:t>6 SAFEGUARDING PRINCIPLES</w:t>
      </w:r>
    </w:p>
    <w:p w14:paraId="222483F1" w14:textId="77777777" w:rsidR="00427120" w:rsidRPr="0009667E" w:rsidRDefault="00427120" w:rsidP="00427120">
      <w:pPr>
        <w:rPr>
          <w:rFonts w:ascii="Arial" w:hAnsi="Arial" w:cs="Arial"/>
          <w:b/>
          <w:i/>
          <w:sz w:val="24"/>
          <w:szCs w:val="24"/>
        </w:rPr>
      </w:pPr>
      <w:r w:rsidRPr="0009667E">
        <w:rPr>
          <w:rFonts w:ascii="Arial" w:hAnsi="Arial" w:cs="Arial"/>
          <w:b/>
          <w:i/>
          <w:sz w:val="24"/>
          <w:szCs w:val="24"/>
        </w:rPr>
        <w:t>Empowerment - presumption of person led decisions and informed consent.</w:t>
      </w:r>
    </w:p>
    <w:p w14:paraId="6DE67F67" w14:textId="77777777" w:rsidR="00427120" w:rsidRPr="0009667E" w:rsidRDefault="00427120" w:rsidP="00427120">
      <w:pPr>
        <w:rPr>
          <w:rFonts w:ascii="Arial" w:hAnsi="Arial" w:cs="Arial"/>
          <w:b/>
          <w:i/>
          <w:sz w:val="24"/>
          <w:szCs w:val="24"/>
        </w:rPr>
      </w:pPr>
      <w:r w:rsidRPr="0009667E">
        <w:rPr>
          <w:rFonts w:ascii="Arial" w:hAnsi="Arial" w:cs="Arial"/>
          <w:b/>
          <w:i/>
          <w:sz w:val="24"/>
          <w:szCs w:val="24"/>
        </w:rPr>
        <w:t>Prevention - it is better to take action before harm occurs.</w:t>
      </w:r>
    </w:p>
    <w:p w14:paraId="3EB27DDE" w14:textId="77777777" w:rsidR="00427120" w:rsidRPr="0009667E" w:rsidRDefault="00427120" w:rsidP="00427120">
      <w:pPr>
        <w:rPr>
          <w:rFonts w:ascii="Arial" w:hAnsi="Arial" w:cs="Arial"/>
          <w:b/>
          <w:i/>
          <w:sz w:val="24"/>
          <w:szCs w:val="24"/>
        </w:rPr>
      </w:pPr>
      <w:r w:rsidRPr="0009667E">
        <w:rPr>
          <w:rFonts w:ascii="Arial" w:hAnsi="Arial" w:cs="Arial"/>
          <w:b/>
          <w:i/>
          <w:sz w:val="24"/>
          <w:szCs w:val="24"/>
        </w:rPr>
        <w:t>Proportion</w:t>
      </w:r>
      <w:r w:rsidR="00412F79" w:rsidRPr="0009667E">
        <w:rPr>
          <w:rFonts w:ascii="Arial" w:hAnsi="Arial" w:cs="Arial"/>
          <w:b/>
          <w:i/>
          <w:sz w:val="24"/>
          <w:szCs w:val="24"/>
        </w:rPr>
        <w:t>ality - proportionate and least i</w:t>
      </w:r>
      <w:r w:rsidRPr="0009667E">
        <w:rPr>
          <w:rFonts w:ascii="Arial" w:hAnsi="Arial" w:cs="Arial"/>
          <w:b/>
          <w:i/>
          <w:sz w:val="24"/>
          <w:szCs w:val="24"/>
        </w:rPr>
        <w:t xml:space="preserve">ntrusive response appropriate to the risk presented. </w:t>
      </w:r>
    </w:p>
    <w:p w14:paraId="60937368" w14:textId="77777777" w:rsidR="00427120" w:rsidRPr="0009667E" w:rsidRDefault="00427120" w:rsidP="00427120">
      <w:pPr>
        <w:rPr>
          <w:rFonts w:ascii="Arial" w:hAnsi="Arial" w:cs="Arial"/>
          <w:b/>
          <w:i/>
          <w:sz w:val="24"/>
          <w:szCs w:val="24"/>
        </w:rPr>
      </w:pPr>
      <w:r w:rsidRPr="0009667E">
        <w:rPr>
          <w:rFonts w:ascii="Arial" w:hAnsi="Arial" w:cs="Arial"/>
          <w:b/>
          <w:i/>
          <w:sz w:val="24"/>
          <w:szCs w:val="24"/>
        </w:rPr>
        <w:t>Protect</w:t>
      </w:r>
      <w:r w:rsidR="00412F79" w:rsidRPr="0009667E">
        <w:rPr>
          <w:rFonts w:ascii="Arial" w:hAnsi="Arial" w:cs="Arial"/>
          <w:b/>
          <w:i/>
          <w:sz w:val="24"/>
          <w:szCs w:val="24"/>
        </w:rPr>
        <w:t xml:space="preserve">ion - support and represent for </w:t>
      </w:r>
      <w:r w:rsidRPr="0009667E">
        <w:rPr>
          <w:rFonts w:ascii="Arial" w:hAnsi="Arial" w:cs="Arial"/>
          <w:b/>
          <w:i/>
          <w:sz w:val="24"/>
          <w:szCs w:val="24"/>
        </w:rPr>
        <w:t>those in greatest need.</w:t>
      </w:r>
    </w:p>
    <w:p w14:paraId="13BF3ABF" w14:textId="77777777" w:rsidR="00427120" w:rsidRPr="0009667E" w:rsidRDefault="00427120" w:rsidP="00427120">
      <w:pPr>
        <w:rPr>
          <w:rFonts w:ascii="Arial" w:hAnsi="Arial" w:cs="Arial"/>
          <w:b/>
          <w:i/>
          <w:sz w:val="24"/>
          <w:szCs w:val="24"/>
        </w:rPr>
      </w:pPr>
      <w:r w:rsidRPr="0009667E">
        <w:rPr>
          <w:rFonts w:ascii="Arial" w:hAnsi="Arial" w:cs="Arial"/>
          <w:b/>
          <w:i/>
          <w:sz w:val="24"/>
          <w:szCs w:val="24"/>
        </w:rPr>
        <w:lastRenderedPageBreak/>
        <w:t>Partnership - local solutions through services working in their communities. Communities have a part in preventing detecting and reporting abuse and neglect.</w:t>
      </w:r>
    </w:p>
    <w:p w14:paraId="2A3D5C53" w14:textId="77777777" w:rsidR="00412F79" w:rsidRPr="0009667E" w:rsidRDefault="00427120" w:rsidP="00427120">
      <w:pPr>
        <w:rPr>
          <w:rFonts w:ascii="Arial" w:hAnsi="Arial" w:cs="Arial"/>
          <w:b/>
          <w:i/>
          <w:sz w:val="24"/>
          <w:szCs w:val="24"/>
        </w:rPr>
      </w:pPr>
      <w:r w:rsidRPr="0009667E">
        <w:rPr>
          <w:rFonts w:ascii="Arial" w:hAnsi="Arial" w:cs="Arial"/>
          <w:b/>
          <w:i/>
          <w:sz w:val="24"/>
          <w:szCs w:val="24"/>
        </w:rPr>
        <w:t>Accountability - Accountability and transparency in delivering safeguarding.</w:t>
      </w:r>
    </w:p>
    <w:p w14:paraId="0F0B92B4" w14:textId="77777777" w:rsidR="008041CF" w:rsidRPr="0009667E" w:rsidRDefault="008041CF" w:rsidP="008041CF">
      <w:pPr>
        <w:rPr>
          <w:rFonts w:ascii="Arial" w:hAnsi="Arial" w:cs="Arial"/>
          <w:b/>
          <w:sz w:val="24"/>
          <w:szCs w:val="24"/>
          <w:u w:val="single"/>
        </w:rPr>
      </w:pPr>
      <w:r w:rsidRPr="0009667E">
        <w:rPr>
          <w:rFonts w:ascii="Arial" w:hAnsi="Arial" w:cs="Arial"/>
          <w:b/>
          <w:sz w:val="24"/>
          <w:szCs w:val="24"/>
          <w:u w:val="single"/>
        </w:rPr>
        <w:t>Further Information</w:t>
      </w:r>
    </w:p>
    <w:p w14:paraId="4A07BFDC" w14:textId="77777777" w:rsidR="008041CF" w:rsidRPr="0009667E" w:rsidRDefault="008041CF" w:rsidP="008041CF">
      <w:pPr>
        <w:rPr>
          <w:rFonts w:ascii="Arial" w:hAnsi="Arial" w:cs="Arial"/>
          <w:sz w:val="24"/>
          <w:szCs w:val="24"/>
        </w:rPr>
      </w:pPr>
      <w:r w:rsidRPr="0009667E">
        <w:rPr>
          <w:rFonts w:ascii="Arial" w:hAnsi="Arial" w:cs="Arial"/>
          <w:sz w:val="24"/>
          <w:szCs w:val="24"/>
        </w:rPr>
        <w:t xml:space="preserve">The Local Government Association (LGA) has a suite of resources which describe what ‘good’ might look like in MSP for a range of </w:t>
      </w:r>
      <w:r w:rsidR="00C40DCB" w:rsidRPr="0009667E">
        <w:rPr>
          <w:rFonts w:ascii="Arial" w:hAnsi="Arial" w:cs="Arial"/>
          <w:sz w:val="24"/>
          <w:szCs w:val="24"/>
        </w:rPr>
        <w:t>organisations,</w:t>
      </w:r>
      <w:r w:rsidRPr="0009667E">
        <w:rPr>
          <w:rFonts w:ascii="Arial" w:hAnsi="Arial" w:cs="Arial"/>
          <w:sz w:val="24"/>
          <w:szCs w:val="24"/>
        </w:rPr>
        <w:t xml:space="preserve"> and promote</w:t>
      </w:r>
      <w:r w:rsidR="00C40DCB" w:rsidRPr="0009667E">
        <w:rPr>
          <w:rFonts w:ascii="Arial" w:hAnsi="Arial" w:cs="Arial"/>
          <w:sz w:val="24"/>
          <w:szCs w:val="24"/>
        </w:rPr>
        <w:t xml:space="preserve"> ownership of this agenda within and across all organisations:</w:t>
      </w:r>
    </w:p>
    <w:p w14:paraId="265824CE" w14:textId="77777777" w:rsidR="00C40DCB" w:rsidRPr="0009667E" w:rsidRDefault="00090BD3" w:rsidP="00C40DCB">
      <w:pPr>
        <w:pStyle w:val="ListParagraph"/>
        <w:numPr>
          <w:ilvl w:val="0"/>
          <w:numId w:val="2"/>
        </w:numPr>
        <w:rPr>
          <w:rFonts w:ascii="Arial" w:hAnsi="Arial" w:cs="Arial"/>
          <w:sz w:val="24"/>
          <w:szCs w:val="24"/>
        </w:rPr>
      </w:pPr>
      <w:hyperlink r:id="rId8" w:history="1">
        <w:r w:rsidR="00C40DCB" w:rsidRPr="0009667E">
          <w:rPr>
            <w:rStyle w:val="Hyperlink"/>
            <w:rFonts w:ascii="Arial" w:hAnsi="Arial" w:cs="Arial"/>
            <w:sz w:val="24"/>
            <w:szCs w:val="24"/>
          </w:rPr>
          <w:t>Support for Boards across the Safeguarding Adult Partnership</w:t>
        </w:r>
      </w:hyperlink>
    </w:p>
    <w:p w14:paraId="1E88AA0F" w14:textId="77777777" w:rsidR="00C40DCB" w:rsidRPr="0009667E" w:rsidRDefault="00090BD3" w:rsidP="00C40DCB">
      <w:pPr>
        <w:pStyle w:val="ListParagraph"/>
        <w:numPr>
          <w:ilvl w:val="0"/>
          <w:numId w:val="2"/>
        </w:numPr>
        <w:rPr>
          <w:rFonts w:ascii="Arial" w:hAnsi="Arial" w:cs="Arial"/>
          <w:sz w:val="24"/>
          <w:szCs w:val="24"/>
        </w:rPr>
      </w:pPr>
      <w:hyperlink r:id="rId9" w:history="1">
        <w:r w:rsidR="00C40DCB" w:rsidRPr="0009667E">
          <w:rPr>
            <w:rStyle w:val="Hyperlink"/>
            <w:rFonts w:ascii="Arial" w:hAnsi="Arial" w:cs="Arial"/>
            <w:sz w:val="24"/>
            <w:szCs w:val="24"/>
          </w:rPr>
          <w:t>What might ‘good’ look like for health and social care commissioners and providers?</w:t>
        </w:r>
      </w:hyperlink>
    </w:p>
    <w:p w14:paraId="7BF0D644" w14:textId="77777777" w:rsidR="00C40DCB" w:rsidRPr="0009667E" w:rsidRDefault="00090BD3" w:rsidP="00C40DCB">
      <w:pPr>
        <w:pStyle w:val="ListParagraph"/>
        <w:numPr>
          <w:ilvl w:val="0"/>
          <w:numId w:val="2"/>
        </w:numPr>
        <w:rPr>
          <w:rFonts w:ascii="Arial" w:hAnsi="Arial" w:cs="Arial"/>
          <w:sz w:val="24"/>
          <w:szCs w:val="24"/>
        </w:rPr>
      </w:pPr>
      <w:hyperlink r:id="rId10" w:history="1">
        <w:r w:rsidR="00C40DCB" w:rsidRPr="0009667E">
          <w:rPr>
            <w:rStyle w:val="Hyperlink"/>
            <w:rFonts w:ascii="Arial" w:hAnsi="Arial" w:cs="Arial"/>
            <w:sz w:val="24"/>
            <w:szCs w:val="24"/>
          </w:rPr>
          <w:t>What might ‘good’ look like for the police?</w:t>
        </w:r>
      </w:hyperlink>
    </w:p>
    <w:p w14:paraId="6158E038" w14:textId="77777777" w:rsidR="00C40DCB" w:rsidRPr="0009667E" w:rsidRDefault="00090BD3" w:rsidP="00C40DCB">
      <w:pPr>
        <w:pStyle w:val="ListParagraph"/>
        <w:numPr>
          <w:ilvl w:val="0"/>
          <w:numId w:val="2"/>
        </w:numPr>
        <w:rPr>
          <w:rFonts w:ascii="Arial" w:hAnsi="Arial" w:cs="Arial"/>
          <w:sz w:val="24"/>
          <w:szCs w:val="24"/>
        </w:rPr>
      </w:pPr>
      <w:hyperlink r:id="rId11" w:history="1">
        <w:r w:rsidR="00C40DCB" w:rsidRPr="0009667E">
          <w:rPr>
            <w:rStyle w:val="Hyperlink"/>
            <w:rFonts w:ascii="Arial" w:hAnsi="Arial" w:cs="Arial"/>
            <w:sz w:val="24"/>
            <w:szCs w:val="24"/>
          </w:rPr>
          <w:t>What might ‘good’ look like for advocacy?</w:t>
        </w:r>
      </w:hyperlink>
    </w:p>
    <w:p w14:paraId="299EA561" w14:textId="77777777" w:rsidR="00C40DCB" w:rsidRPr="0009667E" w:rsidRDefault="00090BD3" w:rsidP="00C40DCB">
      <w:pPr>
        <w:pStyle w:val="ListParagraph"/>
        <w:numPr>
          <w:ilvl w:val="0"/>
          <w:numId w:val="2"/>
        </w:numPr>
        <w:rPr>
          <w:rFonts w:ascii="Arial" w:hAnsi="Arial" w:cs="Arial"/>
          <w:sz w:val="24"/>
          <w:szCs w:val="24"/>
        </w:rPr>
      </w:pPr>
      <w:hyperlink r:id="rId12" w:history="1">
        <w:r w:rsidR="00C40DCB" w:rsidRPr="0009667E">
          <w:rPr>
            <w:rStyle w:val="Hyperlink"/>
            <w:rFonts w:ascii="Arial" w:hAnsi="Arial" w:cs="Arial"/>
            <w:sz w:val="24"/>
            <w:szCs w:val="24"/>
          </w:rPr>
          <w:t>What might ‘good’ look like for those working in the housing sector?</w:t>
        </w:r>
      </w:hyperlink>
    </w:p>
    <w:p w14:paraId="463B3655" w14:textId="77777777" w:rsidR="00C40DCB" w:rsidRPr="0009667E" w:rsidRDefault="00090BD3" w:rsidP="00C40DCB">
      <w:pPr>
        <w:pStyle w:val="ListParagraph"/>
        <w:numPr>
          <w:ilvl w:val="0"/>
          <w:numId w:val="2"/>
        </w:numPr>
        <w:rPr>
          <w:rFonts w:ascii="Arial" w:hAnsi="Arial" w:cs="Arial"/>
          <w:sz w:val="24"/>
          <w:szCs w:val="24"/>
        </w:rPr>
      </w:pPr>
      <w:hyperlink r:id="rId13" w:history="1">
        <w:r w:rsidR="00C40DCB" w:rsidRPr="0009667E">
          <w:rPr>
            <w:rStyle w:val="Hyperlink"/>
            <w:rFonts w:ascii="Arial" w:hAnsi="Arial" w:cs="Arial"/>
            <w:sz w:val="24"/>
            <w:szCs w:val="24"/>
          </w:rPr>
          <w:t>Supporting involvement of service users</w:t>
        </w:r>
      </w:hyperlink>
      <w:r w:rsidR="00C40DCB" w:rsidRPr="0009667E">
        <w:rPr>
          <w:rFonts w:ascii="Arial" w:hAnsi="Arial" w:cs="Arial"/>
          <w:sz w:val="24"/>
          <w:szCs w:val="24"/>
        </w:rPr>
        <w:t xml:space="preserve"> </w:t>
      </w:r>
    </w:p>
    <w:sectPr w:rsidR="00C40DCB" w:rsidRPr="0009667E" w:rsidSect="00090BD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F960" w14:textId="77777777" w:rsidR="00090BD3" w:rsidRDefault="00090BD3" w:rsidP="00090BD3">
      <w:pPr>
        <w:spacing w:after="0" w:line="240" w:lineRule="auto"/>
      </w:pPr>
      <w:r>
        <w:separator/>
      </w:r>
    </w:p>
  </w:endnote>
  <w:endnote w:type="continuationSeparator" w:id="0">
    <w:p w14:paraId="2E576CF3" w14:textId="77777777" w:rsidR="00090BD3" w:rsidRDefault="00090BD3" w:rsidP="0009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B2BB8" w14:textId="77777777" w:rsidR="00090BD3" w:rsidRDefault="00090BD3" w:rsidP="00090BD3">
      <w:pPr>
        <w:spacing w:after="0" w:line="240" w:lineRule="auto"/>
      </w:pPr>
      <w:r>
        <w:separator/>
      </w:r>
    </w:p>
  </w:footnote>
  <w:footnote w:type="continuationSeparator" w:id="0">
    <w:p w14:paraId="64701B87" w14:textId="77777777" w:rsidR="00090BD3" w:rsidRDefault="00090BD3" w:rsidP="00090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3D64" w14:textId="781E307A" w:rsidR="00090BD3" w:rsidRDefault="00090BD3">
    <w:pPr>
      <w:pStyle w:val="Header"/>
    </w:pPr>
    <w:r>
      <w:rPr>
        <w:noProof/>
      </w:rPr>
      <w:drawing>
        <wp:inline distT="0" distB="0" distL="0" distR="0" wp14:anchorId="6D46CC20" wp14:editId="0FE310D5">
          <wp:extent cx="876300" cy="9821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SAB.jpg"/>
                  <pic:cNvPicPr/>
                </pic:nvPicPr>
                <pic:blipFill>
                  <a:blip r:embed="rId1">
                    <a:extLst>
                      <a:ext uri="{28A0092B-C50C-407E-A947-70E740481C1C}">
                        <a14:useLocalDpi xmlns:a14="http://schemas.microsoft.com/office/drawing/2010/main" val="0"/>
                      </a:ext>
                    </a:extLst>
                  </a:blip>
                  <a:stretch>
                    <a:fillRect/>
                  </a:stretch>
                </pic:blipFill>
                <pic:spPr>
                  <a:xfrm>
                    <a:off x="0" y="0"/>
                    <a:ext cx="881046" cy="987517"/>
                  </a:xfrm>
                  <a:prstGeom prst="rect">
                    <a:avLst/>
                  </a:prstGeom>
                </pic:spPr>
              </pic:pic>
            </a:graphicData>
          </a:graphic>
        </wp:inline>
      </w:drawing>
    </w:r>
    <w:r>
      <w:t xml:space="preserve">          </w:t>
    </w:r>
    <w:r>
      <w:rPr>
        <w:noProof/>
      </w:rPr>
      <w:drawing>
        <wp:inline distT="0" distB="0" distL="0" distR="0" wp14:anchorId="4510E9CF" wp14:editId="7C841177">
          <wp:extent cx="1473868"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B.jpg"/>
                  <pic:cNvPicPr/>
                </pic:nvPicPr>
                <pic:blipFill>
                  <a:blip r:embed="rId2">
                    <a:extLst>
                      <a:ext uri="{28A0092B-C50C-407E-A947-70E740481C1C}">
                        <a14:useLocalDpi xmlns:a14="http://schemas.microsoft.com/office/drawing/2010/main" val="0"/>
                      </a:ext>
                    </a:extLst>
                  </a:blip>
                  <a:stretch>
                    <a:fillRect/>
                  </a:stretch>
                </pic:blipFill>
                <pic:spPr>
                  <a:xfrm>
                    <a:off x="0" y="0"/>
                    <a:ext cx="1485849" cy="960243"/>
                  </a:xfrm>
                  <a:prstGeom prst="rect">
                    <a:avLst/>
                  </a:prstGeom>
                </pic:spPr>
              </pic:pic>
            </a:graphicData>
          </a:graphic>
        </wp:inline>
      </w:drawing>
    </w:r>
    <w:r>
      <w:t xml:space="preserve">     </w:t>
    </w:r>
    <w:r>
      <w:rPr>
        <w:noProof/>
      </w:rPr>
      <w:drawing>
        <wp:inline distT="0" distB="0" distL="0" distR="0" wp14:anchorId="63BAE144" wp14:editId="5F47DD91">
          <wp:extent cx="1866900" cy="95211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W SAB.jpg"/>
                  <pic:cNvPicPr/>
                </pic:nvPicPr>
                <pic:blipFill>
                  <a:blip r:embed="rId3">
                    <a:extLst>
                      <a:ext uri="{28A0092B-C50C-407E-A947-70E740481C1C}">
                        <a14:useLocalDpi xmlns:a14="http://schemas.microsoft.com/office/drawing/2010/main" val="0"/>
                      </a:ext>
                    </a:extLst>
                  </a:blip>
                  <a:stretch>
                    <a:fillRect/>
                  </a:stretch>
                </pic:blipFill>
                <pic:spPr>
                  <a:xfrm>
                    <a:off x="0" y="0"/>
                    <a:ext cx="1894248" cy="966067"/>
                  </a:xfrm>
                  <a:prstGeom prst="rect">
                    <a:avLst/>
                  </a:prstGeom>
                </pic:spPr>
              </pic:pic>
            </a:graphicData>
          </a:graphic>
        </wp:inline>
      </w:drawing>
    </w:r>
    <w:r>
      <w:t xml:space="preserve">     </w:t>
    </w:r>
    <w:r>
      <w:rPr>
        <w:noProof/>
      </w:rPr>
      <w:drawing>
        <wp:inline distT="0" distB="0" distL="0" distR="0" wp14:anchorId="48945358" wp14:editId="7054D764">
          <wp:extent cx="866775" cy="11102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AB.jpg"/>
                  <pic:cNvPicPr/>
                </pic:nvPicPr>
                <pic:blipFill>
                  <a:blip r:embed="rId4">
                    <a:extLst>
                      <a:ext uri="{28A0092B-C50C-407E-A947-70E740481C1C}">
                        <a14:useLocalDpi xmlns:a14="http://schemas.microsoft.com/office/drawing/2010/main" val="0"/>
                      </a:ext>
                    </a:extLst>
                  </a:blip>
                  <a:stretch>
                    <a:fillRect/>
                  </a:stretch>
                </pic:blipFill>
                <pic:spPr>
                  <a:xfrm>
                    <a:off x="0" y="0"/>
                    <a:ext cx="873479" cy="1118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B41BF"/>
    <w:multiLevelType w:val="hybridMultilevel"/>
    <w:tmpl w:val="2DDC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208FE"/>
    <w:multiLevelType w:val="hybridMultilevel"/>
    <w:tmpl w:val="30AC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D5E9C"/>
    <w:multiLevelType w:val="hybridMultilevel"/>
    <w:tmpl w:val="37B8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F344A"/>
    <w:multiLevelType w:val="hybridMultilevel"/>
    <w:tmpl w:val="1BB8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981"/>
    <w:rsid w:val="00090BD3"/>
    <w:rsid w:val="0009667E"/>
    <w:rsid w:val="00121823"/>
    <w:rsid w:val="001D31F0"/>
    <w:rsid w:val="003079A9"/>
    <w:rsid w:val="00371654"/>
    <w:rsid w:val="003E4A03"/>
    <w:rsid w:val="00412F79"/>
    <w:rsid w:val="00427120"/>
    <w:rsid w:val="00634ABB"/>
    <w:rsid w:val="00647166"/>
    <w:rsid w:val="0065063D"/>
    <w:rsid w:val="006F268F"/>
    <w:rsid w:val="008041CF"/>
    <w:rsid w:val="00912E8F"/>
    <w:rsid w:val="00921B75"/>
    <w:rsid w:val="0098382A"/>
    <w:rsid w:val="00A523C8"/>
    <w:rsid w:val="00AA6A87"/>
    <w:rsid w:val="00C40DCB"/>
    <w:rsid w:val="00E26A43"/>
    <w:rsid w:val="00E47301"/>
    <w:rsid w:val="00E53981"/>
    <w:rsid w:val="00EC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1DFB"/>
  <w15:docId w15:val="{B066D9A6-98AC-43C9-A9C8-F51B7B39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8F"/>
    <w:pPr>
      <w:ind w:left="720"/>
      <w:contextualSpacing/>
    </w:pPr>
  </w:style>
  <w:style w:type="paragraph" w:styleId="NoSpacing">
    <w:name w:val="No Spacing"/>
    <w:uiPriority w:val="1"/>
    <w:qFormat/>
    <w:rsid w:val="008041CF"/>
    <w:pPr>
      <w:spacing w:after="0" w:line="240" w:lineRule="auto"/>
    </w:pPr>
  </w:style>
  <w:style w:type="character" w:styleId="Hyperlink">
    <w:name w:val="Hyperlink"/>
    <w:basedOn w:val="DefaultParagraphFont"/>
    <w:uiPriority w:val="99"/>
    <w:unhideWhenUsed/>
    <w:rsid w:val="001D31F0"/>
    <w:rPr>
      <w:color w:val="0000FF" w:themeColor="hyperlink"/>
      <w:u w:val="single"/>
    </w:rPr>
  </w:style>
  <w:style w:type="paragraph" w:styleId="Header">
    <w:name w:val="header"/>
    <w:basedOn w:val="Normal"/>
    <w:link w:val="HeaderChar"/>
    <w:uiPriority w:val="99"/>
    <w:unhideWhenUsed/>
    <w:rsid w:val="00090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BD3"/>
  </w:style>
  <w:style w:type="paragraph" w:styleId="Footer">
    <w:name w:val="footer"/>
    <w:basedOn w:val="Normal"/>
    <w:link w:val="FooterChar"/>
    <w:uiPriority w:val="99"/>
    <w:unhideWhenUsed/>
    <w:rsid w:val="00090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making-safeguarding-personal-safeguarding-adults-boards" TargetMode="External"/><Relationship Id="rId13" Type="http://schemas.openxmlformats.org/officeDocument/2006/relationships/hyperlink" Target="https://www.local.gov.uk/making-safeguarding-personal-supporting-increased-involvement-services-users" TargetMode="External"/><Relationship Id="rId3" Type="http://schemas.openxmlformats.org/officeDocument/2006/relationships/settings" Target="settings.xml"/><Relationship Id="rId7" Type="http://schemas.openxmlformats.org/officeDocument/2006/relationships/hyperlink" Target="https://www.youtube.com/watch?v=QvwwEPDA7Yg" TargetMode="External"/><Relationship Id="rId12" Type="http://schemas.openxmlformats.org/officeDocument/2006/relationships/hyperlink" Target="https://www.local.gov.uk/making-safeguarding-personal-what-might-good-look-those-working-housing-sect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making-safeguarding-personal-what-might-good-look-advoc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ocal.gov.uk/making-safeguarding-personal-what-might-good-look-police" TargetMode="External"/><Relationship Id="rId4" Type="http://schemas.openxmlformats.org/officeDocument/2006/relationships/webSettings" Target="webSettings.xml"/><Relationship Id="rId9" Type="http://schemas.openxmlformats.org/officeDocument/2006/relationships/hyperlink" Target="https://www.local.gov.uk/making-safeguarding-personal-what-might-good-look-health-and-social-care-commissioners-a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Emma</dc:creator>
  <cp:lastModifiedBy>Elvy, David</cp:lastModifiedBy>
  <cp:revision>2</cp:revision>
  <cp:lastPrinted>2018-11-02T12:40:00Z</cp:lastPrinted>
  <dcterms:created xsi:type="dcterms:W3CDTF">2019-04-03T13:45:00Z</dcterms:created>
  <dcterms:modified xsi:type="dcterms:W3CDTF">2019-04-03T13:45:00Z</dcterms:modified>
</cp:coreProperties>
</file>