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97EF" w14:textId="77777777" w:rsidR="00E13C20" w:rsidRDefault="00E13C20">
      <w:pPr>
        <w:rPr>
          <w:rFonts w:ascii="Arial" w:hAnsi="Arial" w:cs="Arial"/>
          <w:b/>
          <w:sz w:val="24"/>
          <w:szCs w:val="24"/>
        </w:rPr>
      </w:pPr>
    </w:p>
    <w:p w14:paraId="0E9294A7" w14:textId="77777777" w:rsidR="00930147" w:rsidRDefault="00FB0688">
      <w:pPr>
        <w:rPr>
          <w:rFonts w:ascii="Arial" w:hAnsi="Arial" w:cs="Arial"/>
          <w:b/>
          <w:sz w:val="24"/>
          <w:szCs w:val="24"/>
        </w:rPr>
      </w:pPr>
      <w:r w:rsidRPr="00FB0688">
        <w:rPr>
          <w:rFonts w:ascii="Arial" w:hAnsi="Arial" w:cs="Arial"/>
          <w:b/>
          <w:sz w:val="24"/>
          <w:szCs w:val="24"/>
        </w:rPr>
        <w:t xml:space="preserve">One minute guide on the 4LSAB Multi-Agency Risk Management Framework  </w:t>
      </w:r>
    </w:p>
    <w:p w14:paraId="285D8291" w14:textId="77777777" w:rsidR="00081AC6" w:rsidRDefault="00FB0688" w:rsidP="00081AC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FB0688">
        <w:rPr>
          <w:rFonts w:ascii="Arial" w:hAnsi="Arial" w:cs="Arial"/>
          <w:color w:val="000000"/>
          <w:sz w:val="24"/>
          <w:szCs w:val="24"/>
        </w:rPr>
        <w:t xml:space="preserve">he four </w:t>
      </w:r>
      <w:r>
        <w:rPr>
          <w:rFonts w:ascii="Arial" w:hAnsi="Arial" w:cs="Arial"/>
          <w:color w:val="000000"/>
          <w:sz w:val="24"/>
          <w:szCs w:val="24"/>
        </w:rPr>
        <w:t xml:space="preserve">Local </w:t>
      </w:r>
      <w:r w:rsidRPr="00FB0688">
        <w:rPr>
          <w:rFonts w:ascii="Arial" w:hAnsi="Arial" w:cs="Arial"/>
          <w:color w:val="000000"/>
          <w:sz w:val="24"/>
          <w:szCs w:val="24"/>
        </w:rPr>
        <w:t>Safeguarding Adult Boards in Hampshire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688">
        <w:rPr>
          <w:rFonts w:ascii="Arial" w:hAnsi="Arial" w:cs="Arial"/>
          <w:color w:val="000000"/>
          <w:sz w:val="24"/>
          <w:szCs w:val="24"/>
        </w:rPr>
        <w:t>Isle of Wight</w:t>
      </w:r>
      <w:r>
        <w:rPr>
          <w:rFonts w:ascii="Arial" w:hAnsi="Arial" w:cs="Arial"/>
          <w:color w:val="000000"/>
          <w:sz w:val="24"/>
          <w:szCs w:val="24"/>
        </w:rPr>
        <w:t xml:space="preserve">, Portsmouth and Southampton have produced </w:t>
      </w:r>
      <w:r w:rsidR="00081AC6">
        <w:rPr>
          <w:rFonts w:ascii="Arial" w:hAnsi="Arial" w:cs="Arial"/>
          <w:color w:val="000000"/>
          <w:sz w:val="24"/>
          <w:szCs w:val="24"/>
        </w:rPr>
        <w:t xml:space="preserve">shared </w:t>
      </w:r>
      <w:r>
        <w:rPr>
          <w:rFonts w:ascii="Arial" w:hAnsi="Arial" w:cs="Arial"/>
          <w:color w:val="000000"/>
          <w:sz w:val="24"/>
          <w:szCs w:val="24"/>
        </w:rPr>
        <w:t xml:space="preserve">multi-agency guidance </w:t>
      </w:r>
      <w:r w:rsidRPr="00FB0688">
        <w:rPr>
          <w:rFonts w:ascii="Arial" w:hAnsi="Arial" w:cs="Arial"/>
          <w:color w:val="000000"/>
          <w:sz w:val="24"/>
          <w:szCs w:val="24"/>
        </w:rPr>
        <w:t xml:space="preserve">on </w:t>
      </w:r>
      <w:r w:rsidRPr="00FB0688">
        <w:rPr>
          <w:rFonts w:ascii="Arial" w:hAnsi="Arial" w:cs="Arial"/>
          <w:bCs/>
          <w:sz w:val="24"/>
          <w:szCs w:val="24"/>
        </w:rPr>
        <w:t xml:space="preserve">managing cases relating to adults where there is a high level of risk but the circumstances may sit outside the statutory adult safeguarding framework but for which a multi-agency approach would be beneficial. </w:t>
      </w:r>
      <w:r w:rsidR="00081AC6">
        <w:rPr>
          <w:rFonts w:ascii="Arial" w:hAnsi="Arial" w:cs="Arial"/>
          <w:bCs/>
          <w:sz w:val="24"/>
          <w:szCs w:val="24"/>
        </w:rPr>
        <w:t xml:space="preserve">Developed in response to learning gained from serious cases, the </w:t>
      </w:r>
      <w:hyperlink r:id="rId7" w:history="1">
        <w:r w:rsidR="00081AC6">
          <w:rPr>
            <w:rStyle w:val="Hyperlink"/>
            <w:rFonts w:ascii="Arial" w:hAnsi="Arial" w:cs="Arial"/>
            <w:bCs/>
            <w:sz w:val="24"/>
            <w:szCs w:val="24"/>
          </w:rPr>
          <w:t>4</w:t>
        </w:r>
        <w:r w:rsidR="00081AC6" w:rsidRPr="00081AC6">
          <w:rPr>
            <w:rStyle w:val="Hyperlink"/>
            <w:rFonts w:ascii="Arial" w:hAnsi="Arial" w:cs="Arial"/>
            <w:bCs/>
            <w:sz w:val="24"/>
            <w:szCs w:val="24"/>
          </w:rPr>
          <w:t xml:space="preserve">LSAB Multi-Agency Risk Management Framework </w:t>
        </w:r>
      </w:hyperlink>
      <w:r w:rsidR="00081AC6">
        <w:rPr>
          <w:rFonts w:ascii="Arial" w:hAnsi="Arial" w:cs="Arial"/>
          <w:bCs/>
          <w:sz w:val="24"/>
          <w:szCs w:val="24"/>
        </w:rPr>
        <w:t xml:space="preserve"> enables a </w:t>
      </w:r>
      <w:r w:rsidR="00081AC6" w:rsidRPr="00081AC6">
        <w:rPr>
          <w:rFonts w:ascii="Arial" w:hAnsi="Arial" w:cs="Arial"/>
          <w:color w:val="000000"/>
          <w:sz w:val="24"/>
          <w:szCs w:val="24"/>
        </w:rPr>
        <w:t xml:space="preserve">multi-agency, proactive approach </w:t>
      </w:r>
      <w:r w:rsidR="00081AC6">
        <w:rPr>
          <w:rFonts w:ascii="Arial" w:hAnsi="Arial" w:cs="Arial"/>
          <w:color w:val="000000"/>
          <w:sz w:val="24"/>
          <w:szCs w:val="24"/>
        </w:rPr>
        <w:t xml:space="preserve">which </w:t>
      </w:r>
      <w:r w:rsidR="00081AC6" w:rsidRPr="00081AC6">
        <w:rPr>
          <w:rFonts w:ascii="Arial" w:hAnsi="Arial" w:cs="Arial"/>
          <w:color w:val="000000"/>
          <w:sz w:val="24"/>
          <w:szCs w:val="24"/>
        </w:rPr>
        <w:t xml:space="preserve">helps </w:t>
      </w:r>
      <w:r w:rsidR="00081AC6">
        <w:rPr>
          <w:rFonts w:ascii="Arial" w:hAnsi="Arial" w:cs="Arial"/>
          <w:color w:val="000000"/>
          <w:sz w:val="24"/>
          <w:szCs w:val="24"/>
        </w:rPr>
        <w:t xml:space="preserve">to </w:t>
      </w:r>
      <w:r w:rsidR="00081AC6" w:rsidRPr="00081AC6">
        <w:rPr>
          <w:rFonts w:ascii="Arial" w:hAnsi="Arial" w:cs="Arial"/>
          <w:color w:val="000000"/>
          <w:sz w:val="24"/>
          <w:szCs w:val="24"/>
        </w:rPr>
        <w:t>identify</w:t>
      </w:r>
      <w:r w:rsidR="00081AC6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081AC6" w:rsidRPr="00081AC6">
        <w:rPr>
          <w:rFonts w:ascii="Arial" w:hAnsi="Arial" w:cs="Arial"/>
          <w:color w:val="000000"/>
          <w:sz w:val="24"/>
          <w:szCs w:val="24"/>
        </w:rPr>
        <w:t>respond to risks    before crisis point reached.</w:t>
      </w:r>
      <w:r w:rsidR="00081AC6">
        <w:rPr>
          <w:rFonts w:ascii="Arial" w:hAnsi="Arial" w:cs="Arial"/>
          <w:color w:val="000000"/>
          <w:sz w:val="24"/>
          <w:szCs w:val="24"/>
        </w:rPr>
        <w:t xml:space="preserve">  It enables </w:t>
      </w:r>
      <w:r w:rsidR="00081AC6" w:rsidRPr="00081AC6">
        <w:rPr>
          <w:rFonts w:ascii="Arial" w:hAnsi="Arial" w:cs="Arial"/>
          <w:color w:val="000000"/>
          <w:sz w:val="24"/>
          <w:szCs w:val="24"/>
        </w:rPr>
        <w:t xml:space="preserve">a collaborative, coordinated and multi-agency response </w:t>
      </w:r>
      <w:r w:rsidR="00081AC6">
        <w:rPr>
          <w:rFonts w:ascii="Arial" w:hAnsi="Arial" w:cs="Arial"/>
          <w:color w:val="000000"/>
          <w:sz w:val="24"/>
          <w:szCs w:val="24"/>
        </w:rPr>
        <w:t xml:space="preserve">to risks </w:t>
      </w:r>
      <w:r w:rsidR="00081AC6" w:rsidRPr="00081AC6">
        <w:rPr>
          <w:rFonts w:ascii="Arial" w:hAnsi="Arial" w:cs="Arial"/>
          <w:color w:val="000000"/>
          <w:sz w:val="24"/>
          <w:szCs w:val="24"/>
        </w:rPr>
        <w:t>ensuring</w:t>
      </w:r>
      <w:r w:rsidR="00081AC6">
        <w:rPr>
          <w:rFonts w:ascii="Arial" w:hAnsi="Arial" w:cs="Arial"/>
          <w:color w:val="000000"/>
          <w:sz w:val="24"/>
          <w:szCs w:val="24"/>
        </w:rPr>
        <w:t xml:space="preserve"> t</w:t>
      </w:r>
      <w:r w:rsidR="00081AC6" w:rsidRPr="00081AC6">
        <w:rPr>
          <w:rFonts w:ascii="Arial" w:hAnsi="Arial" w:cs="Arial"/>
          <w:color w:val="000000"/>
          <w:sz w:val="24"/>
          <w:szCs w:val="24"/>
        </w:rPr>
        <w:t>imely information sharing of risk</w:t>
      </w:r>
      <w:r w:rsidR="00081AC6">
        <w:rPr>
          <w:rFonts w:ascii="Arial" w:hAnsi="Arial" w:cs="Arial"/>
          <w:color w:val="000000"/>
          <w:sz w:val="24"/>
          <w:szCs w:val="24"/>
        </w:rPr>
        <w:t>, a h</w:t>
      </w:r>
      <w:r w:rsidR="00081AC6" w:rsidRPr="00081AC6">
        <w:rPr>
          <w:rFonts w:ascii="Arial" w:hAnsi="Arial" w:cs="Arial"/>
          <w:color w:val="000000"/>
          <w:sz w:val="24"/>
          <w:szCs w:val="24"/>
        </w:rPr>
        <w:t>olistic assessment of risk</w:t>
      </w:r>
      <w:r w:rsidR="00081AC6">
        <w:rPr>
          <w:rFonts w:ascii="Arial" w:hAnsi="Arial" w:cs="Arial"/>
          <w:color w:val="000000"/>
          <w:sz w:val="24"/>
          <w:szCs w:val="24"/>
        </w:rPr>
        <w:t xml:space="preserve"> and the d</w:t>
      </w:r>
      <w:r w:rsidR="00081AC6" w:rsidRPr="00081AC6">
        <w:rPr>
          <w:rFonts w:ascii="Arial" w:hAnsi="Arial" w:cs="Arial"/>
          <w:color w:val="000000"/>
          <w:sz w:val="24"/>
          <w:szCs w:val="24"/>
        </w:rPr>
        <w:t xml:space="preserve">evelopment of </w:t>
      </w:r>
      <w:r w:rsidR="00081AC6">
        <w:rPr>
          <w:rFonts w:ascii="Arial" w:hAnsi="Arial" w:cs="Arial"/>
          <w:color w:val="000000"/>
          <w:sz w:val="24"/>
          <w:szCs w:val="24"/>
        </w:rPr>
        <w:t>multi-agency r</w:t>
      </w:r>
      <w:r w:rsidR="00081AC6" w:rsidRPr="00081AC6">
        <w:rPr>
          <w:rFonts w:ascii="Arial" w:hAnsi="Arial" w:cs="Arial"/>
          <w:color w:val="000000"/>
          <w:sz w:val="24"/>
          <w:szCs w:val="24"/>
        </w:rPr>
        <w:t>isk plans</w:t>
      </w:r>
      <w:r w:rsidR="00081AC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666BB7C" w14:textId="77777777" w:rsidR="00364197" w:rsidRPr="00081AC6" w:rsidRDefault="00364197" w:rsidP="0036419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guidance is based on a number of key principles including the </w:t>
      </w:r>
      <w:r>
        <w:rPr>
          <w:rFonts w:ascii="Arial" w:hAnsi="Arial" w:cs="Arial"/>
          <w:color w:val="000000"/>
          <w:sz w:val="24"/>
          <w:szCs w:val="24"/>
        </w:rPr>
        <w:t xml:space="preserve">duty to protect </w:t>
      </w:r>
      <w:r w:rsidRPr="00081AC6">
        <w:rPr>
          <w:rFonts w:ascii="Arial" w:hAnsi="Arial" w:cs="Arial"/>
          <w:color w:val="000000"/>
          <w:sz w:val="24"/>
          <w:szCs w:val="24"/>
        </w:rPr>
        <w:t>to protect from fores</w:t>
      </w:r>
      <w:r>
        <w:rPr>
          <w:rFonts w:ascii="Arial" w:hAnsi="Arial" w:cs="Arial"/>
          <w:color w:val="000000"/>
          <w:sz w:val="24"/>
          <w:szCs w:val="24"/>
        </w:rPr>
        <w:t xml:space="preserve">eeable harm even when </w:t>
      </w:r>
      <w:r w:rsidRPr="00081AC6">
        <w:rPr>
          <w:rFonts w:ascii="Arial" w:hAnsi="Arial" w:cs="Arial"/>
          <w:color w:val="000000"/>
          <w:sz w:val="24"/>
          <w:szCs w:val="24"/>
        </w:rPr>
        <w:t xml:space="preserve">the adult </w:t>
      </w:r>
      <w:r>
        <w:rPr>
          <w:rFonts w:ascii="Arial" w:hAnsi="Arial" w:cs="Arial"/>
          <w:color w:val="000000"/>
          <w:sz w:val="24"/>
          <w:szCs w:val="24"/>
        </w:rPr>
        <w:t xml:space="preserve">has the mental capacity to make the decision to not </w:t>
      </w:r>
      <w:r w:rsidRPr="00081AC6">
        <w:rPr>
          <w:rFonts w:ascii="Arial" w:hAnsi="Arial" w:cs="Arial"/>
          <w:color w:val="000000"/>
          <w:sz w:val="24"/>
          <w:szCs w:val="24"/>
        </w:rPr>
        <w:t>engage</w:t>
      </w:r>
      <w:r>
        <w:rPr>
          <w:rFonts w:ascii="Arial" w:hAnsi="Arial" w:cs="Arial"/>
          <w:color w:val="000000"/>
          <w:sz w:val="24"/>
          <w:szCs w:val="24"/>
        </w:rPr>
        <w:t xml:space="preserve"> in care and support. It recognises that c</w:t>
      </w:r>
      <w:r w:rsidRPr="00081AC6">
        <w:rPr>
          <w:rFonts w:ascii="Arial" w:hAnsi="Arial" w:cs="Arial"/>
          <w:color w:val="000000"/>
          <w:sz w:val="24"/>
          <w:szCs w:val="24"/>
        </w:rPr>
        <w:t>omplex cases involving people with long term and entrenched behaviours</w:t>
      </w:r>
      <w:r>
        <w:rPr>
          <w:rFonts w:ascii="Arial" w:hAnsi="Arial" w:cs="Arial"/>
          <w:color w:val="000000"/>
          <w:sz w:val="24"/>
          <w:szCs w:val="24"/>
        </w:rPr>
        <w:t xml:space="preserve"> requires a </w:t>
      </w:r>
      <w:r w:rsidRPr="00081AC6">
        <w:rPr>
          <w:rFonts w:ascii="Arial" w:hAnsi="Arial" w:cs="Arial"/>
          <w:color w:val="000000"/>
          <w:sz w:val="24"/>
          <w:szCs w:val="24"/>
        </w:rPr>
        <w:t>relationship based approach focusing on building trust and rapport</w:t>
      </w:r>
      <w:r>
        <w:rPr>
          <w:rFonts w:ascii="Arial" w:hAnsi="Arial" w:cs="Arial"/>
          <w:color w:val="000000"/>
          <w:sz w:val="24"/>
          <w:szCs w:val="24"/>
        </w:rPr>
        <w:t xml:space="preserve"> in order to reduce harm. </w:t>
      </w:r>
    </w:p>
    <w:p w14:paraId="4E335079" w14:textId="77777777" w:rsidR="00364197" w:rsidRDefault="00364197" w:rsidP="00364197">
      <w:pPr>
        <w:rPr>
          <w:rFonts w:ascii="Arial" w:hAnsi="Arial" w:cs="Arial"/>
          <w:bCs/>
          <w:sz w:val="24"/>
          <w:szCs w:val="24"/>
        </w:rPr>
      </w:pPr>
      <w:r w:rsidRPr="00FB0688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guidance d</w:t>
      </w:r>
      <w:r w:rsidRPr="00FB0688">
        <w:rPr>
          <w:rFonts w:ascii="Arial" w:hAnsi="Arial" w:cs="Arial"/>
          <w:bCs/>
          <w:sz w:val="24"/>
          <w:szCs w:val="24"/>
        </w:rPr>
        <w:t xml:space="preserve">oes not replace single agency risk management arrangements and instead seeks to build on and complement these by providing a multi-agency </w:t>
      </w:r>
      <w:r>
        <w:rPr>
          <w:rFonts w:ascii="Arial" w:hAnsi="Arial" w:cs="Arial"/>
          <w:bCs/>
          <w:sz w:val="24"/>
          <w:szCs w:val="24"/>
        </w:rPr>
        <w:t>d</w:t>
      </w:r>
      <w:r w:rsidRPr="00FB0688">
        <w:rPr>
          <w:rFonts w:ascii="Arial" w:hAnsi="Arial" w:cs="Arial"/>
          <w:bCs/>
          <w:sz w:val="24"/>
          <w:szCs w:val="24"/>
        </w:rPr>
        <w:t xml:space="preserve">imension.  Professionals must also refer to relevant statutory frameworks and operational </w:t>
      </w:r>
      <w:r>
        <w:rPr>
          <w:rFonts w:ascii="Arial" w:hAnsi="Arial" w:cs="Arial"/>
          <w:bCs/>
          <w:sz w:val="24"/>
          <w:szCs w:val="24"/>
        </w:rPr>
        <w:t xml:space="preserve">policies </w:t>
      </w:r>
      <w:r w:rsidRPr="00FB0688">
        <w:rPr>
          <w:rFonts w:ascii="Arial" w:hAnsi="Arial" w:cs="Arial"/>
          <w:bCs/>
          <w:sz w:val="24"/>
          <w:szCs w:val="24"/>
        </w:rPr>
        <w:t xml:space="preserve">which they are required to follow. </w:t>
      </w:r>
    </w:p>
    <w:p w14:paraId="21A3164A" w14:textId="77777777" w:rsidR="00081AC6" w:rsidRPr="00081AC6" w:rsidRDefault="00081AC6" w:rsidP="00081AC6">
      <w:pPr>
        <w:rPr>
          <w:rFonts w:ascii="Arial" w:hAnsi="Arial" w:cs="Arial"/>
          <w:color w:val="000000"/>
          <w:sz w:val="24"/>
          <w:szCs w:val="24"/>
        </w:rPr>
      </w:pPr>
      <w:r w:rsidRPr="00081AC6">
        <w:rPr>
          <w:rFonts w:ascii="Arial" w:hAnsi="Arial" w:cs="Arial"/>
          <w:color w:val="000000"/>
          <w:sz w:val="24"/>
          <w:szCs w:val="24"/>
        </w:rPr>
        <w:t>An adult is considered to be ‘at risk’ when s/he is unable or unwilling to provide adequate care for him/herself and:</w:t>
      </w:r>
    </w:p>
    <w:p w14:paraId="089AD0AE" w14:textId="77777777" w:rsidR="00605DFD" w:rsidRPr="00081AC6" w:rsidRDefault="0079380C" w:rsidP="00081AC6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num" w:pos="720"/>
        </w:tabs>
        <w:rPr>
          <w:rFonts w:ascii="Arial" w:hAnsi="Arial" w:cs="Arial"/>
          <w:color w:val="000000"/>
          <w:sz w:val="24"/>
          <w:szCs w:val="24"/>
        </w:rPr>
      </w:pPr>
      <w:r w:rsidRPr="00081AC6">
        <w:rPr>
          <w:rFonts w:ascii="Arial" w:hAnsi="Arial" w:cs="Arial"/>
          <w:color w:val="000000"/>
          <w:sz w:val="24"/>
          <w:szCs w:val="24"/>
        </w:rPr>
        <w:t xml:space="preserve">Is unable to obtain necessary care to meet their needs; and/or </w:t>
      </w:r>
    </w:p>
    <w:p w14:paraId="364454BD" w14:textId="77777777" w:rsidR="00605DFD" w:rsidRPr="00081AC6" w:rsidRDefault="0079380C" w:rsidP="00081AC6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num" w:pos="720"/>
        </w:tabs>
        <w:rPr>
          <w:rFonts w:ascii="Arial" w:hAnsi="Arial" w:cs="Arial"/>
          <w:color w:val="000000"/>
          <w:sz w:val="24"/>
          <w:szCs w:val="24"/>
        </w:rPr>
      </w:pPr>
      <w:r w:rsidRPr="00081AC6">
        <w:rPr>
          <w:rFonts w:ascii="Arial" w:hAnsi="Arial" w:cs="Arial"/>
          <w:color w:val="000000"/>
          <w:sz w:val="24"/>
          <w:szCs w:val="24"/>
        </w:rPr>
        <w:t xml:space="preserve">Is unable to make reasonable or informed decisions because of their state of mental health or because they have a learning disability or an acquired brain injury; and/or </w:t>
      </w:r>
    </w:p>
    <w:p w14:paraId="7673B2F8" w14:textId="77777777" w:rsidR="00605DFD" w:rsidRPr="00081AC6" w:rsidRDefault="0079380C" w:rsidP="00081AC6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num" w:pos="720"/>
        </w:tabs>
        <w:rPr>
          <w:rFonts w:ascii="Arial" w:hAnsi="Arial" w:cs="Arial"/>
          <w:color w:val="000000"/>
          <w:sz w:val="24"/>
          <w:szCs w:val="24"/>
        </w:rPr>
      </w:pPr>
      <w:r w:rsidRPr="00081AC6">
        <w:rPr>
          <w:rFonts w:ascii="Arial" w:hAnsi="Arial" w:cs="Arial"/>
          <w:color w:val="000000"/>
          <w:sz w:val="24"/>
          <w:szCs w:val="24"/>
        </w:rPr>
        <w:t>Is unable to protect themselves adequately against potential exploitation or abuse; and/or</w:t>
      </w:r>
    </w:p>
    <w:p w14:paraId="4FA5CBE7" w14:textId="77777777" w:rsidR="00605DFD" w:rsidRPr="00081AC6" w:rsidRDefault="0079380C" w:rsidP="00081AC6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num" w:pos="720"/>
        </w:tabs>
        <w:rPr>
          <w:rFonts w:ascii="Arial" w:hAnsi="Arial" w:cs="Arial"/>
          <w:color w:val="000000"/>
          <w:sz w:val="24"/>
          <w:szCs w:val="24"/>
        </w:rPr>
      </w:pPr>
      <w:r w:rsidRPr="00081AC6">
        <w:rPr>
          <w:rFonts w:ascii="Arial" w:hAnsi="Arial" w:cs="Arial"/>
          <w:color w:val="000000"/>
          <w:sz w:val="24"/>
          <w:szCs w:val="24"/>
        </w:rPr>
        <w:t>Has refused essential services without which their health and safety needs cannot be met but a lack of insight to recognise this.</w:t>
      </w:r>
    </w:p>
    <w:p w14:paraId="268C47D8" w14:textId="77777777" w:rsidR="00E13C20" w:rsidRPr="00FB0688" w:rsidRDefault="00081AC6" w:rsidP="00E13C2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B0688">
        <w:rPr>
          <w:rFonts w:ascii="Arial" w:hAnsi="Arial" w:cs="Arial"/>
          <w:bCs/>
          <w:sz w:val="24"/>
          <w:szCs w:val="24"/>
        </w:rPr>
        <w:t xml:space="preserve">The </w:t>
      </w:r>
      <w:r w:rsidRPr="00FB0688">
        <w:rPr>
          <w:rFonts w:ascii="Arial" w:hAnsi="Arial" w:cs="Arial"/>
          <w:sz w:val="24"/>
          <w:szCs w:val="24"/>
        </w:rPr>
        <w:t xml:space="preserve">Multi-Agency Risk Management Framework  </w:t>
      </w:r>
      <w:r w:rsidRPr="00FB0688">
        <w:rPr>
          <w:rFonts w:ascii="Arial" w:hAnsi="Arial" w:cs="Arial"/>
          <w:color w:val="000000"/>
          <w:sz w:val="24"/>
          <w:szCs w:val="24"/>
        </w:rPr>
        <w:t xml:space="preserve">is likely to be useful to any professional who is working with adults  experiencing an unmanageable level of risk </w:t>
      </w:r>
      <w:r w:rsidRPr="00FB0688">
        <w:rPr>
          <w:rFonts w:ascii="Arial" w:hAnsi="Arial" w:cs="Arial"/>
          <w:color w:val="000000"/>
          <w:sz w:val="24"/>
          <w:szCs w:val="24"/>
        </w:rPr>
        <w:lastRenderedPageBreak/>
        <w:t>as a result of circumstances which create the risk of harm but not relating to abuse or neglect by a third party such as:</w:t>
      </w:r>
    </w:p>
    <w:p w14:paraId="6EACE4A9" w14:textId="77777777" w:rsidR="00081AC6" w:rsidRPr="00FB0688" w:rsidRDefault="00081AC6" w:rsidP="0036419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 w:rsidRPr="00FB0688">
        <w:rPr>
          <w:rFonts w:ascii="Arial" w:hAnsi="Arial" w:cs="Arial"/>
          <w:color w:val="000000"/>
          <w:sz w:val="24"/>
          <w:szCs w:val="24"/>
        </w:rPr>
        <w:t>Vulnerability factors placing them at a higher risk of abuse or neglect including mate crime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FB0688">
        <w:rPr>
          <w:rFonts w:ascii="Arial" w:hAnsi="Arial" w:cs="Arial"/>
          <w:color w:val="000000"/>
          <w:sz w:val="24"/>
          <w:szCs w:val="24"/>
        </w:rPr>
        <w:t xml:space="preserve"> network abuse;</w:t>
      </w:r>
    </w:p>
    <w:p w14:paraId="79CD1443" w14:textId="77777777" w:rsidR="00081AC6" w:rsidRPr="00FB0688" w:rsidRDefault="00081AC6" w:rsidP="00364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p w14:paraId="4B8F4BB2" w14:textId="77777777" w:rsidR="00081AC6" w:rsidRPr="00FB0688" w:rsidRDefault="00081AC6" w:rsidP="0036419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 w:rsidRPr="00FB0688">
        <w:rPr>
          <w:rFonts w:ascii="Arial" w:hAnsi="Arial" w:cs="Arial"/>
          <w:color w:val="000000"/>
          <w:sz w:val="24"/>
          <w:szCs w:val="24"/>
        </w:rPr>
        <w:t>Self neglect including hoarding and fire safety;</w:t>
      </w:r>
    </w:p>
    <w:p w14:paraId="5357C128" w14:textId="77777777" w:rsidR="00081AC6" w:rsidRPr="00FB0688" w:rsidRDefault="00081AC6" w:rsidP="00364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0"/>
        <w:rPr>
          <w:rFonts w:ascii="Arial" w:hAnsi="Arial" w:cs="Arial"/>
          <w:color w:val="000000"/>
          <w:sz w:val="24"/>
          <w:szCs w:val="24"/>
        </w:rPr>
      </w:pPr>
    </w:p>
    <w:p w14:paraId="6899FF09" w14:textId="77777777" w:rsidR="00081AC6" w:rsidRPr="00FB0688" w:rsidRDefault="00081AC6" w:rsidP="0036419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 w:rsidRPr="00FB0688">
        <w:rPr>
          <w:rFonts w:ascii="Arial" w:hAnsi="Arial" w:cs="Arial"/>
          <w:color w:val="000000"/>
          <w:sz w:val="24"/>
          <w:szCs w:val="24"/>
        </w:rPr>
        <w:t>Refusal or disengagement from care and support services</w:t>
      </w:r>
      <w:r>
        <w:rPr>
          <w:rFonts w:ascii="Arial" w:hAnsi="Arial" w:cs="Arial"/>
          <w:color w:val="000000"/>
          <w:sz w:val="24"/>
          <w:szCs w:val="24"/>
        </w:rPr>
        <w:t xml:space="preserve"> when the adult has the mental capacity to make decisions about their care and support</w:t>
      </w:r>
      <w:r w:rsidRPr="00FB0688">
        <w:rPr>
          <w:rFonts w:ascii="Arial" w:hAnsi="Arial" w:cs="Arial"/>
          <w:color w:val="000000"/>
          <w:sz w:val="24"/>
          <w:szCs w:val="24"/>
        </w:rPr>
        <w:t>;</w:t>
      </w:r>
    </w:p>
    <w:p w14:paraId="76D9DE7F" w14:textId="77777777" w:rsidR="00081AC6" w:rsidRPr="00FB0688" w:rsidRDefault="00081AC6" w:rsidP="00364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0"/>
        <w:rPr>
          <w:rFonts w:ascii="Arial" w:hAnsi="Arial" w:cs="Arial"/>
          <w:color w:val="000000"/>
          <w:sz w:val="24"/>
          <w:szCs w:val="24"/>
        </w:rPr>
      </w:pPr>
    </w:p>
    <w:p w14:paraId="1F39B35D" w14:textId="77777777" w:rsidR="00081AC6" w:rsidRPr="00FB0688" w:rsidRDefault="00081AC6" w:rsidP="0036419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 w:rsidRPr="00FB0688">
        <w:rPr>
          <w:rFonts w:ascii="Arial" w:hAnsi="Arial" w:cs="Arial"/>
          <w:color w:val="000000"/>
          <w:sz w:val="24"/>
          <w:szCs w:val="24"/>
        </w:rPr>
        <w:t>Complex or diverse needs which either fall between, or span a number of agencies’ statutory responsibilities or eligibility criteria;</w:t>
      </w:r>
    </w:p>
    <w:p w14:paraId="03A2A8C4" w14:textId="77777777" w:rsidR="00081AC6" w:rsidRPr="00FB0688" w:rsidRDefault="00081AC6" w:rsidP="00364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0"/>
        <w:rPr>
          <w:rFonts w:ascii="Arial" w:hAnsi="Arial" w:cs="Arial"/>
          <w:color w:val="000000"/>
          <w:sz w:val="24"/>
          <w:szCs w:val="24"/>
        </w:rPr>
      </w:pPr>
    </w:p>
    <w:p w14:paraId="1231209A" w14:textId="77777777" w:rsidR="00081AC6" w:rsidRPr="00FB0688" w:rsidRDefault="00081AC6" w:rsidP="0036419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 w:rsidRPr="00FB0688">
        <w:rPr>
          <w:rFonts w:ascii="Arial" w:hAnsi="Arial" w:cs="Arial"/>
          <w:color w:val="000000"/>
          <w:sz w:val="24"/>
          <w:szCs w:val="24"/>
        </w:rPr>
        <w:t>On-going needs or behaviour leading to lifestyle choices placing the adult and/or others at significant risk;</w:t>
      </w:r>
    </w:p>
    <w:p w14:paraId="01BC6CAC" w14:textId="77777777" w:rsidR="00081AC6" w:rsidRPr="00FB0688" w:rsidRDefault="00081AC6" w:rsidP="00364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0"/>
        <w:rPr>
          <w:rFonts w:ascii="Arial" w:hAnsi="Arial" w:cs="Arial"/>
          <w:color w:val="000000"/>
          <w:sz w:val="24"/>
          <w:szCs w:val="24"/>
        </w:rPr>
      </w:pPr>
    </w:p>
    <w:p w14:paraId="34A1A2DB" w14:textId="77777777" w:rsidR="00081AC6" w:rsidRPr="00FB0688" w:rsidRDefault="00081AC6" w:rsidP="0036419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 w:rsidRPr="00FB0688">
        <w:rPr>
          <w:rFonts w:ascii="Arial" w:hAnsi="Arial" w:cs="Arial"/>
          <w:color w:val="000000"/>
          <w:sz w:val="24"/>
          <w:szCs w:val="24"/>
        </w:rPr>
        <w:t>Complex needs and behaviours leading the adult to cause harm to others;</w:t>
      </w:r>
    </w:p>
    <w:p w14:paraId="37F17105" w14:textId="77777777" w:rsidR="00081AC6" w:rsidRPr="00FB0688" w:rsidRDefault="00081AC6" w:rsidP="00364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p w14:paraId="4489A5E8" w14:textId="77777777" w:rsidR="00081AC6" w:rsidRPr="00FB0688" w:rsidRDefault="00081AC6" w:rsidP="0036419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FB0688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</w:t>
      </w:r>
      <w:r w:rsidRPr="00FB0688">
        <w:rPr>
          <w:rFonts w:ascii="Arial" w:hAnsi="Arial" w:cs="Arial"/>
          <w:sz w:val="24"/>
          <w:szCs w:val="24"/>
        </w:rPr>
        <w:t xml:space="preserve">oxic </w:t>
      </w:r>
      <w:r>
        <w:rPr>
          <w:rFonts w:ascii="Arial" w:hAnsi="Arial" w:cs="Arial"/>
          <w:sz w:val="24"/>
          <w:szCs w:val="24"/>
        </w:rPr>
        <w:t>t</w:t>
      </w:r>
      <w:r w:rsidRPr="00FB0688">
        <w:rPr>
          <w:rFonts w:ascii="Arial" w:hAnsi="Arial" w:cs="Arial"/>
          <w:sz w:val="24"/>
          <w:szCs w:val="24"/>
        </w:rPr>
        <w:t xml:space="preserve">rio’ of domestic violence, mental health and substance misuse and </w:t>
      </w:r>
    </w:p>
    <w:p w14:paraId="6FAE8DFE" w14:textId="77777777" w:rsidR="00081AC6" w:rsidRPr="00FB0688" w:rsidRDefault="00081AC6" w:rsidP="00364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p w14:paraId="168A4BE0" w14:textId="77777777" w:rsidR="00E13C20" w:rsidRPr="00E13C20" w:rsidRDefault="00081AC6" w:rsidP="0036419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 w:rsidRPr="00FB0688">
        <w:rPr>
          <w:rFonts w:ascii="Arial" w:hAnsi="Arial" w:cs="Arial"/>
          <w:color w:val="000000"/>
          <w:sz w:val="24"/>
          <w:szCs w:val="24"/>
        </w:rPr>
        <w:t xml:space="preserve">Risks previously addressed via a section 42 enquiry but for which the need for on-going risk management and monitoring has been identified.  </w:t>
      </w:r>
    </w:p>
    <w:p w14:paraId="528D9AEE" w14:textId="77777777" w:rsidR="00364197" w:rsidRDefault="00364197" w:rsidP="00364197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The process:</w:t>
      </w:r>
    </w:p>
    <w:p w14:paraId="1D7D6C0A" w14:textId="77777777" w:rsidR="00605DFD" w:rsidRPr="0079380C" w:rsidRDefault="00364197" w:rsidP="0079380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79380C">
        <w:rPr>
          <w:rFonts w:ascii="Arial" w:hAnsi="Arial" w:cs="Arial"/>
          <w:bCs/>
          <w:sz w:val="24"/>
          <w:szCs w:val="24"/>
        </w:rPr>
        <w:t xml:space="preserve">No one agency ‘owns’ the process.  </w:t>
      </w:r>
      <w:r w:rsidR="0079380C" w:rsidRPr="0079380C">
        <w:rPr>
          <w:rFonts w:ascii="Arial" w:hAnsi="Arial" w:cs="Arial"/>
          <w:bCs/>
          <w:sz w:val="24"/>
          <w:szCs w:val="24"/>
        </w:rPr>
        <w:t>Any agency can initiate</w:t>
      </w:r>
      <w:r w:rsidRPr="0079380C">
        <w:rPr>
          <w:rFonts w:ascii="Arial" w:hAnsi="Arial" w:cs="Arial"/>
          <w:bCs/>
          <w:sz w:val="24"/>
          <w:szCs w:val="24"/>
        </w:rPr>
        <w:t xml:space="preserve"> the process however, </w:t>
      </w:r>
      <w:r w:rsidR="0079380C" w:rsidRPr="0079380C">
        <w:rPr>
          <w:rFonts w:ascii="Arial" w:hAnsi="Arial" w:cs="Arial"/>
          <w:bCs/>
          <w:sz w:val="24"/>
          <w:szCs w:val="24"/>
        </w:rPr>
        <w:t xml:space="preserve"> </w:t>
      </w:r>
      <w:r w:rsidRPr="0079380C">
        <w:rPr>
          <w:rFonts w:ascii="Arial" w:hAnsi="Arial" w:cs="Arial"/>
          <w:bCs/>
          <w:sz w:val="24"/>
          <w:szCs w:val="24"/>
        </w:rPr>
        <w:t xml:space="preserve">in doing so the agency assumes the </w:t>
      </w:r>
      <w:r w:rsidR="0079380C" w:rsidRPr="0079380C">
        <w:rPr>
          <w:rFonts w:ascii="Arial" w:hAnsi="Arial" w:cs="Arial"/>
          <w:bCs/>
          <w:sz w:val="24"/>
          <w:szCs w:val="24"/>
        </w:rPr>
        <w:t xml:space="preserve"> lead coordinating role with</w:t>
      </w:r>
      <w:r w:rsidRPr="0079380C">
        <w:rPr>
          <w:rFonts w:ascii="Arial" w:hAnsi="Arial" w:cs="Arial"/>
          <w:bCs/>
          <w:sz w:val="24"/>
          <w:szCs w:val="24"/>
        </w:rPr>
        <w:t xml:space="preserve"> </w:t>
      </w:r>
      <w:r w:rsidR="0079380C" w:rsidRPr="0079380C">
        <w:rPr>
          <w:rFonts w:ascii="Arial" w:hAnsi="Arial" w:cs="Arial"/>
          <w:bCs/>
          <w:sz w:val="24"/>
          <w:szCs w:val="24"/>
        </w:rPr>
        <w:t xml:space="preserve">responsibility for convening and  chairing the initial meeting.    </w:t>
      </w:r>
    </w:p>
    <w:p w14:paraId="6FA66B5C" w14:textId="77777777" w:rsidR="0079380C" w:rsidRDefault="0079380C" w:rsidP="0079380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E719D4F" w14:textId="77777777" w:rsidR="00605DFD" w:rsidRPr="0079380C" w:rsidRDefault="00364197" w:rsidP="0079380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79380C">
        <w:rPr>
          <w:rFonts w:ascii="Arial" w:hAnsi="Arial" w:cs="Arial"/>
          <w:bCs/>
          <w:sz w:val="24"/>
          <w:szCs w:val="24"/>
        </w:rPr>
        <w:t xml:space="preserve">The purpose of the meeting is to </w:t>
      </w:r>
      <w:r w:rsidR="0079380C" w:rsidRPr="0079380C">
        <w:rPr>
          <w:rFonts w:ascii="Arial" w:hAnsi="Arial" w:cs="Arial"/>
          <w:bCs/>
          <w:sz w:val="24"/>
          <w:szCs w:val="24"/>
        </w:rPr>
        <w:t xml:space="preserve">gain a holistic overview of current risks and </w:t>
      </w:r>
      <w:r w:rsidRPr="0079380C">
        <w:rPr>
          <w:rFonts w:ascii="Arial" w:hAnsi="Arial" w:cs="Arial"/>
          <w:bCs/>
          <w:sz w:val="24"/>
          <w:szCs w:val="24"/>
        </w:rPr>
        <w:t xml:space="preserve">to agree </w:t>
      </w:r>
      <w:r w:rsidR="0079380C" w:rsidRPr="0079380C">
        <w:rPr>
          <w:rFonts w:ascii="Arial" w:hAnsi="Arial" w:cs="Arial"/>
          <w:bCs/>
          <w:sz w:val="24"/>
          <w:szCs w:val="24"/>
        </w:rPr>
        <w:t xml:space="preserve">a </w:t>
      </w:r>
      <w:r w:rsidRPr="0079380C">
        <w:rPr>
          <w:rFonts w:ascii="Arial" w:hAnsi="Arial" w:cs="Arial"/>
          <w:bCs/>
          <w:sz w:val="24"/>
          <w:szCs w:val="24"/>
        </w:rPr>
        <w:t xml:space="preserve">multi-agency </w:t>
      </w:r>
      <w:r w:rsidR="0079380C" w:rsidRPr="0079380C">
        <w:rPr>
          <w:rFonts w:ascii="Arial" w:hAnsi="Arial" w:cs="Arial"/>
          <w:bCs/>
          <w:sz w:val="24"/>
          <w:szCs w:val="24"/>
        </w:rPr>
        <w:t xml:space="preserve">risk management plan. </w:t>
      </w:r>
    </w:p>
    <w:p w14:paraId="47ACC753" w14:textId="77777777" w:rsidR="0079380C" w:rsidRDefault="0079380C" w:rsidP="0079380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4A679D02" w14:textId="77777777" w:rsidR="00605DFD" w:rsidRPr="0079380C" w:rsidRDefault="0079380C" w:rsidP="0079380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79380C">
        <w:rPr>
          <w:rFonts w:ascii="Arial" w:hAnsi="Arial" w:cs="Arial"/>
          <w:bCs/>
          <w:sz w:val="24"/>
          <w:szCs w:val="24"/>
        </w:rPr>
        <w:t xml:space="preserve">As far as possible, the adult should be included and involved in the process and in developing the risk management plan. </w:t>
      </w:r>
    </w:p>
    <w:p w14:paraId="03FF381D" w14:textId="77777777" w:rsidR="0079380C" w:rsidRDefault="0079380C" w:rsidP="0079380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7118509A" w14:textId="77777777" w:rsidR="00605DFD" w:rsidRPr="0079380C" w:rsidRDefault="0079380C" w:rsidP="0079380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79380C">
        <w:rPr>
          <w:rFonts w:ascii="Arial" w:hAnsi="Arial" w:cs="Arial"/>
          <w:bCs/>
          <w:sz w:val="24"/>
          <w:szCs w:val="24"/>
        </w:rPr>
        <w:t>If the collaborative assessment highlights circumstances which are more appropriately dealt with elsewhere, a referral should be made</w:t>
      </w:r>
    </w:p>
    <w:p w14:paraId="4CD91A42" w14:textId="77777777" w:rsidR="0079380C" w:rsidRDefault="0079380C" w:rsidP="0079380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FD1289F" w14:textId="77777777" w:rsidR="00605DFD" w:rsidRPr="0079380C" w:rsidRDefault="00364197" w:rsidP="0079380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79380C">
        <w:rPr>
          <w:rFonts w:ascii="Arial" w:hAnsi="Arial" w:cs="Arial"/>
          <w:bCs/>
          <w:sz w:val="24"/>
          <w:szCs w:val="24"/>
        </w:rPr>
        <w:t>The p</w:t>
      </w:r>
      <w:r w:rsidR="0079380C" w:rsidRPr="0079380C">
        <w:rPr>
          <w:rFonts w:ascii="Arial" w:hAnsi="Arial" w:cs="Arial"/>
          <w:bCs/>
          <w:sz w:val="24"/>
          <w:szCs w:val="24"/>
        </w:rPr>
        <w:t>rocess continues until the identified risks are either resolved or managed</w:t>
      </w:r>
      <w:r w:rsidRPr="0079380C">
        <w:rPr>
          <w:rFonts w:ascii="Arial" w:hAnsi="Arial" w:cs="Arial"/>
          <w:bCs/>
          <w:sz w:val="24"/>
          <w:szCs w:val="24"/>
        </w:rPr>
        <w:t xml:space="preserve"> </w:t>
      </w:r>
      <w:r w:rsidR="0079380C" w:rsidRPr="0079380C">
        <w:rPr>
          <w:rFonts w:ascii="Arial" w:hAnsi="Arial" w:cs="Arial"/>
          <w:bCs/>
          <w:sz w:val="24"/>
          <w:szCs w:val="24"/>
        </w:rPr>
        <w:t xml:space="preserve">to an acceptable level. </w:t>
      </w:r>
      <w:r w:rsidRPr="0079380C">
        <w:rPr>
          <w:rFonts w:ascii="Arial" w:hAnsi="Arial" w:cs="Arial"/>
          <w:bCs/>
          <w:sz w:val="24"/>
          <w:szCs w:val="24"/>
        </w:rPr>
        <w:t xml:space="preserve"> </w:t>
      </w:r>
      <w:r w:rsidR="0079380C" w:rsidRPr="0079380C">
        <w:rPr>
          <w:rFonts w:ascii="Arial" w:hAnsi="Arial" w:cs="Arial"/>
          <w:bCs/>
          <w:sz w:val="24"/>
          <w:szCs w:val="24"/>
        </w:rPr>
        <w:t xml:space="preserve">Any on-going support necessary to maintain well-being and safety should be agreed before the case is transferred back into the ‘business as usual’ case work. </w:t>
      </w:r>
    </w:p>
    <w:p w14:paraId="56104303" w14:textId="77777777" w:rsidR="00FB0688" w:rsidRPr="00FB0688" w:rsidRDefault="00FB0688" w:rsidP="0079380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FB0688">
        <w:rPr>
          <w:rFonts w:ascii="Arial" w:hAnsi="Arial" w:cs="Arial"/>
          <w:color w:val="000000"/>
          <w:sz w:val="24"/>
          <w:szCs w:val="24"/>
        </w:rPr>
        <w:t>Th</w:t>
      </w:r>
      <w:r w:rsidR="00364197">
        <w:rPr>
          <w:rFonts w:ascii="Arial" w:hAnsi="Arial" w:cs="Arial"/>
          <w:color w:val="000000"/>
          <w:sz w:val="24"/>
          <w:szCs w:val="24"/>
        </w:rPr>
        <w:t xml:space="preserve">e guidance </w:t>
      </w:r>
      <w:r w:rsidRPr="00FB0688">
        <w:rPr>
          <w:rFonts w:ascii="Arial" w:hAnsi="Arial" w:cs="Arial"/>
          <w:color w:val="000000"/>
          <w:sz w:val="24"/>
          <w:szCs w:val="24"/>
        </w:rPr>
        <w:t xml:space="preserve">should be read in conjunction with the Hampshire 4LSAB Multi -Agency Safeguarding Policy and Guidance </w:t>
      </w:r>
      <w:r>
        <w:rPr>
          <w:rFonts w:ascii="Arial" w:hAnsi="Arial" w:cs="Arial"/>
          <w:color w:val="000000"/>
          <w:sz w:val="24"/>
          <w:szCs w:val="24"/>
        </w:rPr>
        <w:t>(</w:t>
      </w:r>
      <w:hyperlink r:id="rId8" w:history="1">
        <w:r w:rsidRPr="00FB0688">
          <w:rPr>
            <w:rStyle w:val="Hyperlink"/>
            <w:rFonts w:ascii="Arial" w:hAnsi="Arial" w:cs="Arial"/>
            <w:sz w:val="24"/>
            <w:szCs w:val="24"/>
          </w:rPr>
          <w:t>www.hampshiresab.org.uk</w:t>
        </w:r>
      </w:hyperlink>
      <w:r w:rsidRPr="00FB0688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sectPr w:rsidR="00FB0688" w:rsidRPr="00FB0688" w:rsidSect="00E13C20">
      <w:headerReference w:type="first" r:id="rId9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DC08" w14:textId="77777777" w:rsidR="00E13C20" w:rsidRDefault="00E13C20" w:rsidP="00E13C20">
      <w:pPr>
        <w:spacing w:after="0" w:line="240" w:lineRule="auto"/>
      </w:pPr>
      <w:r>
        <w:separator/>
      </w:r>
    </w:p>
  </w:endnote>
  <w:endnote w:type="continuationSeparator" w:id="0">
    <w:p w14:paraId="0BBA1D4B" w14:textId="77777777" w:rsidR="00E13C20" w:rsidRDefault="00E13C20" w:rsidP="00E1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83FE" w14:textId="77777777" w:rsidR="00E13C20" w:rsidRDefault="00E13C20" w:rsidP="00E13C20">
      <w:pPr>
        <w:spacing w:after="0" w:line="240" w:lineRule="auto"/>
      </w:pPr>
      <w:r>
        <w:separator/>
      </w:r>
    </w:p>
  </w:footnote>
  <w:footnote w:type="continuationSeparator" w:id="0">
    <w:p w14:paraId="329D34AD" w14:textId="77777777" w:rsidR="00E13C20" w:rsidRDefault="00E13C20" w:rsidP="00E1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B1A7" w14:textId="77777777" w:rsidR="00E13C20" w:rsidRDefault="00E13C20">
    <w:pPr>
      <w:pStyle w:val="Header"/>
    </w:pPr>
    <w:r>
      <w:rPr>
        <w:noProof/>
      </w:rPr>
      <w:drawing>
        <wp:inline distT="0" distB="0" distL="0" distR="0" wp14:anchorId="440FA853" wp14:editId="27B940FC">
          <wp:extent cx="847725" cy="95016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S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45" cy="95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08FECC4E" wp14:editId="31F08E20">
          <wp:extent cx="1400175" cy="904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A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976" cy="90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74892788" wp14:editId="4CBE784D">
          <wp:extent cx="1800225" cy="9181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OW SA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238" cy="93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421A1164" wp14:editId="7D1A06FC">
          <wp:extent cx="819150" cy="104924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A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86" cy="105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988154"/>
    <w:lvl w:ilvl="0">
      <w:start w:val="1"/>
      <w:numFmt w:val="lowerLetter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Gill Sans MT" w:eastAsiaTheme="minorHAnsi" w:hAnsi="Gill Sans MT" w:cstheme="minorBidi"/>
      </w:rPr>
    </w:lvl>
  </w:abstractNum>
  <w:abstractNum w:abstractNumId="1" w15:restartNumberingAfterBreak="0">
    <w:nsid w:val="088E6AAA"/>
    <w:multiLevelType w:val="hybridMultilevel"/>
    <w:tmpl w:val="709C83C6"/>
    <w:lvl w:ilvl="0" w:tplc="CBF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4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8A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0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42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C5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2C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ED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5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1B5860"/>
    <w:multiLevelType w:val="hybridMultilevel"/>
    <w:tmpl w:val="6ACA2E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10531"/>
    <w:multiLevelType w:val="hybridMultilevel"/>
    <w:tmpl w:val="C1B27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CCF"/>
    <w:multiLevelType w:val="hybridMultilevel"/>
    <w:tmpl w:val="2066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8B2"/>
    <w:multiLevelType w:val="hybridMultilevel"/>
    <w:tmpl w:val="466CF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0A8"/>
    <w:multiLevelType w:val="hybridMultilevel"/>
    <w:tmpl w:val="B85C0F7A"/>
    <w:lvl w:ilvl="0" w:tplc="2B50ED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B46E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908B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D47E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007E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5609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56F5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0C08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9A92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F42651C"/>
    <w:multiLevelType w:val="multilevel"/>
    <w:tmpl w:val="79346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B474BB"/>
    <w:multiLevelType w:val="hybridMultilevel"/>
    <w:tmpl w:val="D7380418"/>
    <w:lvl w:ilvl="0" w:tplc="78B0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20D18">
      <w:start w:val="28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4A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E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21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8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EE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80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42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292FD2"/>
    <w:multiLevelType w:val="hybridMultilevel"/>
    <w:tmpl w:val="A484F3C6"/>
    <w:lvl w:ilvl="0" w:tplc="A978C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0F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61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C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6E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6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88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7008FD"/>
    <w:multiLevelType w:val="hybridMultilevel"/>
    <w:tmpl w:val="106C6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47927"/>
    <w:multiLevelType w:val="hybridMultilevel"/>
    <w:tmpl w:val="639CF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688"/>
    <w:rsid w:val="00000ACD"/>
    <w:rsid w:val="00001F3F"/>
    <w:rsid w:val="000026C6"/>
    <w:rsid w:val="000037CE"/>
    <w:rsid w:val="000047AB"/>
    <w:rsid w:val="00004FA6"/>
    <w:rsid w:val="000050AC"/>
    <w:rsid w:val="000109C0"/>
    <w:rsid w:val="000131FE"/>
    <w:rsid w:val="000149F4"/>
    <w:rsid w:val="00021C80"/>
    <w:rsid w:val="00025D95"/>
    <w:rsid w:val="00030184"/>
    <w:rsid w:val="000302DD"/>
    <w:rsid w:val="000304CD"/>
    <w:rsid w:val="00030605"/>
    <w:rsid w:val="00030A3D"/>
    <w:rsid w:val="000324A4"/>
    <w:rsid w:val="00032EEF"/>
    <w:rsid w:val="00036EAB"/>
    <w:rsid w:val="000379F0"/>
    <w:rsid w:val="00037DD6"/>
    <w:rsid w:val="00040B8F"/>
    <w:rsid w:val="0004212F"/>
    <w:rsid w:val="00046FC6"/>
    <w:rsid w:val="000477CF"/>
    <w:rsid w:val="000521D4"/>
    <w:rsid w:val="00053F53"/>
    <w:rsid w:val="00054432"/>
    <w:rsid w:val="00054FBD"/>
    <w:rsid w:val="00055028"/>
    <w:rsid w:val="0005595A"/>
    <w:rsid w:val="0005684A"/>
    <w:rsid w:val="00065202"/>
    <w:rsid w:val="000711B2"/>
    <w:rsid w:val="0007519F"/>
    <w:rsid w:val="00075DC8"/>
    <w:rsid w:val="000771CD"/>
    <w:rsid w:val="00077896"/>
    <w:rsid w:val="000807FD"/>
    <w:rsid w:val="00081AC6"/>
    <w:rsid w:val="00085C3D"/>
    <w:rsid w:val="00085ED3"/>
    <w:rsid w:val="0008657F"/>
    <w:rsid w:val="0009046B"/>
    <w:rsid w:val="00091748"/>
    <w:rsid w:val="00092329"/>
    <w:rsid w:val="000A0A37"/>
    <w:rsid w:val="000A0F23"/>
    <w:rsid w:val="000A1856"/>
    <w:rsid w:val="000A19D1"/>
    <w:rsid w:val="000A1B1E"/>
    <w:rsid w:val="000A55D6"/>
    <w:rsid w:val="000A5707"/>
    <w:rsid w:val="000A5896"/>
    <w:rsid w:val="000A727F"/>
    <w:rsid w:val="000A7B3C"/>
    <w:rsid w:val="000B00CD"/>
    <w:rsid w:val="000B4F0F"/>
    <w:rsid w:val="000B5CD1"/>
    <w:rsid w:val="000B6E5E"/>
    <w:rsid w:val="000C3534"/>
    <w:rsid w:val="000C3D98"/>
    <w:rsid w:val="000C3ECF"/>
    <w:rsid w:val="000C6CA2"/>
    <w:rsid w:val="000C765C"/>
    <w:rsid w:val="000C7DC2"/>
    <w:rsid w:val="000D1C62"/>
    <w:rsid w:val="000D2C84"/>
    <w:rsid w:val="000D2CE0"/>
    <w:rsid w:val="000D2D96"/>
    <w:rsid w:val="000D6970"/>
    <w:rsid w:val="000D7CA9"/>
    <w:rsid w:val="000E3491"/>
    <w:rsid w:val="000E3B4E"/>
    <w:rsid w:val="000E403A"/>
    <w:rsid w:val="000E4D47"/>
    <w:rsid w:val="000E6AB7"/>
    <w:rsid w:val="000E6D44"/>
    <w:rsid w:val="000F0969"/>
    <w:rsid w:val="000F15C2"/>
    <w:rsid w:val="000F26E9"/>
    <w:rsid w:val="000F6DB4"/>
    <w:rsid w:val="000F7802"/>
    <w:rsid w:val="00101021"/>
    <w:rsid w:val="001046B3"/>
    <w:rsid w:val="00105D5D"/>
    <w:rsid w:val="001064E2"/>
    <w:rsid w:val="00106D2B"/>
    <w:rsid w:val="00106F93"/>
    <w:rsid w:val="00107C4C"/>
    <w:rsid w:val="00110179"/>
    <w:rsid w:val="00110C3E"/>
    <w:rsid w:val="001113B3"/>
    <w:rsid w:val="00111A5A"/>
    <w:rsid w:val="00115775"/>
    <w:rsid w:val="00115E39"/>
    <w:rsid w:val="001165E7"/>
    <w:rsid w:val="0011790F"/>
    <w:rsid w:val="00117BDC"/>
    <w:rsid w:val="001235A4"/>
    <w:rsid w:val="00127A95"/>
    <w:rsid w:val="00127AE7"/>
    <w:rsid w:val="00131DE9"/>
    <w:rsid w:val="001347F1"/>
    <w:rsid w:val="00134CDE"/>
    <w:rsid w:val="00137258"/>
    <w:rsid w:val="00137D0E"/>
    <w:rsid w:val="00137E2B"/>
    <w:rsid w:val="00146562"/>
    <w:rsid w:val="00153FAA"/>
    <w:rsid w:val="00154418"/>
    <w:rsid w:val="00155B0A"/>
    <w:rsid w:val="001569C0"/>
    <w:rsid w:val="00162260"/>
    <w:rsid w:val="00163BD2"/>
    <w:rsid w:val="00165F48"/>
    <w:rsid w:val="00170E66"/>
    <w:rsid w:val="0017221C"/>
    <w:rsid w:val="00172252"/>
    <w:rsid w:val="00174E5C"/>
    <w:rsid w:val="00175741"/>
    <w:rsid w:val="0017766D"/>
    <w:rsid w:val="0018253D"/>
    <w:rsid w:val="0018430D"/>
    <w:rsid w:val="00184BE7"/>
    <w:rsid w:val="00185410"/>
    <w:rsid w:val="0018683F"/>
    <w:rsid w:val="00186E23"/>
    <w:rsid w:val="00187CCD"/>
    <w:rsid w:val="00191112"/>
    <w:rsid w:val="00191F8D"/>
    <w:rsid w:val="0019386C"/>
    <w:rsid w:val="0019397F"/>
    <w:rsid w:val="00194563"/>
    <w:rsid w:val="00195745"/>
    <w:rsid w:val="001A3BF4"/>
    <w:rsid w:val="001A3F06"/>
    <w:rsid w:val="001A4131"/>
    <w:rsid w:val="001A6282"/>
    <w:rsid w:val="001A66CE"/>
    <w:rsid w:val="001A7678"/>
    <w:rsid w:val="001B09E2"/>
    <w:rsid w:val="001B0C1D"/>
    <w:rsid w:val="001B0E1B"/>
    <w:rsid w:val="001B1870"/>
    <w:rsid w:val="001B23D3"/>
    <w:rsid w:val="001B3A30"/>
    <w:rsid w:val="001B4465"/>
    <w:rsid w:val="001B693A"/>
    <w:rsid w:val="001B7044"/>
    <w:rsid w:val="001B7B4A"/>
    <w:rsid w:val="001B7F9F"/>
    <w:rsid w:val="001C0257"/>
    <w:rsid w:val="001C0576"/>
    <w:rsid w:val="001C353D"/>
    <w:rsid w:val="001C4DA5"/>
    <w:rsid w:val="001C6636"/>
    <w:rsid w:val="001D019A"/>
    <w:rsid w:val="001D0852"/>
    <w:rsid w:val="001D19E3"/>
    <w:rsid w:val="001D19F5"/>
    <w:rsid w:val="001D1B71"/>
    <w:rsid w:val="001D459D"/>
    <w:rsid w:val="001D4AE0"/>
    <w:rsid w:val="001E1A61"/>
    <w:rsid w:val="001E332E"/>
    <w:rsid w:val="001E382E"/>
    <w:rsid w:val="001E5212"/>
    <w:rsid w:val="001E68DA"/>
    <w:rsid w:val="001E701B"/>
    <w:rsid w:val="001E7F51"/>
    <w:rsid w:val="001F0C8C"/>
    <w:rsid w:val="001F2144"/>
    <w:rsid w:val="002000B5"/>
    <w:rsid w:val="00201440"/>
    <w:rsid w:val="002060BB"/>
    <w:rsid w:val="00212ED9"/>
    <w:rsid w:val="002136BF"/>
    <w:rsid w:val="00214C73"/>
    <w:rsid w:val="002150E4"/>
    <w:rsid w:val="00216409"/>
    <w:rsid w:val="00216A5E"/>
    <w:rsid w:val="00221D7E"/>
    <w:rsid w:val="002226AE"/>
    <w:rsid w:val="00223718"/>
    <w:rsid w:val="002249B2"/>
    <w:rsid w:val="0022528F"/>
    <w:rsid w:val="002267B9"/>
    <w:rsid w:val="002274BB"/>
    <w:rsid w:val="00227FB1"/>
    <w:rsid w:val="00230B12"/>
    <w:rsid w:val="00230C46"/>
    <w:rsid w:val="002315A5"/>
    <w:rsid w:val="00233D30"/>
    <w:rsid w:val="00236B21"/>
    <w:rsid w:val="00242833"/>
    <w:rsid w:val="00243B0C"/>
    <w:rsid w:val="00243EE3"/>
    <w:rsid w:val="002562A4"/>
    <w:rsid w:val="0026131E"/>
    <w:rsid w:val="002619ED"/>
    <w:rsid w:val="00264C98"/>
    <w:rsid w:val="00265054"/>
    <w:rsid w:val="00270E49"/>
    <w:rsid w:val="0027459B"/>
    <w:rsid w:val="00275EB1"/>
    <w:rsid w:val="00277A4B"/>
    <w:rsid w:val="00280AE4"/>
    <w:rsid w:val="00281339"/>
    <w:rsid w:val="002854C2"/>
    <w:rsid w:val="00285AC6"/>
    <w:rsid w:val="00287ADC"/>
    <w:rsid w:val="00287C77"/>
    <w:rsid w:val="0029361F"/>
    <w:rsid w:val="002A144A"/>
    <w:rsid w:val="002A198B"/>
    <w:rsid w:val="002A2D51"/>
    <w:rsid w:val="002B1F19"/>
    <w:rsid w:val="002B6AF9"/>
    <w:rsid w:val="002C0531"/>
    <w:rsid w:val="002C0FB9"/>
    <w:rsid w:val="002C246A"/>
    <w:rsid w:val="002D2055"/>
    <w:rsid w:val="002D23B7"/>
    <w:rsid w:val="002D492E"/>
    <w:rsid w:val="002D55ED"/>
    <w:rsid w:val="002D5BF3"/>
    <w:rsid w:val="002E137F"/>
    <w:rsid w:val="002E5305"/>
    <w:rsid w:val="002E5BE7"/>
    <w:rsid w:val="002E6279"/>
    <w:rsid w:val="002E7039"/>
    <w:rsid w:val="002F2BD2"/>
    <w:rsid w:val="002F3D3C"/>
    <w:rsid w:val="002F683C"/>
    <w:rsid w:val="002F73C6"/>
    <w:rsid w:val="002F7CB3"/>
    <w:rsid w:val="002F7FDF"/>
    <w:rsid w:val="0030116A"/>
    <w:rsid w:val="00303EF8"/>
    <w:rsid w:val="00305FB1"/>
    <w:rsid w:val="0031077F"/>
    <w:rsid w:val="00310FA9"/>
    <w:rsid w:val="00312FEA"/>
    <w:rsid w:val="003140D9"/>
    <w:rsid w:val="00320064"/>
    <w:rsid w:val="00320FEE"/>
    <w:rsid w:val="00322779"/>
    <w:rsid w:val="00323472"/>
    <w:rsid w:val="003243AD"/>
    <w:rsid w:val="00324598"/>
    <w:rsid w:val="00325368"/>
    <w:rsid w:val="003315BF"/>
    <w:rsid w:val="00331AEA"/>
    <w:rsid w:val="00331E46"/>
    <w:rsid w:val="00331F60"/>
    <w:rsid w:val="003325D1"/>
    <w:rsid w:val="00332A2B"/>
    <w:rsid w:val="00333EFD"/>
    <w:rsid w:val="00335024"/>
    <w:rsid w:val="003352A4"/>
    <w:rsid w:val="00336BD6"/>
    <w:rsid w:val="00337195"/>
    <w:rsid w:val="00341DA2"/>
    <w:rsid w:val="00344169"/>
    <w:rsid w:val="00344F7F"/>
    <w:rsid w:val="003466A7"/>
    <w:rsid w:val="00346EE7"/>
    <w:rsid w:val="00350C4A"/>
    <w:rsid w:val="00351061"/>
    <w:rsid w:val="003513A7"/>
    <w:rsid w:val="00351622"/>
    <w:rsid w:val="003537C4"/>
    <w:rsid w:val="00360D03"/>
    <w:rsid w:val="00364197"/>
    <w:rsid w:val="003655A4"/>
    <w:rsid w:val="00365F4C"/>
    <w:rsid w:val="00367647"/>
    <w:rsid w:val="00370893"/>
    <w:rsid w:val="00371045"/>
    <w:rsid w:val="00372A35"/>
    <w:rsid w:val="003745F4"/>
    <w:rsid w:val="00383796"/>
    <w:rsid w:val="00383A7C"/>
    <w:rsid w:val="00383BB5"/>
    <w:rsid w:val="00385204"/>
    <w:rsid w:val="00387D7A"/>
    <w:rsid w:val="00390278"/>
    <w:rsid w:val="003918D6"/>
    <w:rsid w:val="0039230B"/>
    <w:rsid w:val="00394788"/>
    <w:rsid w:val="003A724B"/>
    <w:rsid w:val="003B0458"/>
    <w:rsid w:val="003B1C2D"/>
    <w:rsid w:val="003B3B7A"/>
    <w:rsid w:val="003B41CB"/>
    <w:rsid w:val="003B4A4E"/>
    <w:rsid w:val="003B70A9"/>
    <w:rsid w:val="003C000A"/>
    <w:rsid w:val="003C3A8B"/>
    <w:rsid w:val="003C513F"/>
    <w:rsid w:val="003C60AF"/>
    <w:rsid w:val="003C61D3"/>
    <w:rsid w:val="003D10F0"/>
    <w:rsid w:val="003D1BFB"/>
    <w:rsid w:val="003D2D69"/>
    <w:rsid w:val="003D32EB"/>
    <w:rsid w:val="003D3476"/>
    <w:rsid w:val="003D587A"/>
    <w:rsid w:val="003D7707"/>
    <w:rsid w:val="003E1335"/>
    <w:rsid w:val="003E1938"/>
    <w:rsid w:val="003E27A4"/>
    <w:rsid w:val="003E676E"/>
    <w:rsid w:val="003E7450"/>
    <w:rsid w:val="003E75D4"/>
    <w:rsid w:val="003F0FB6"/>
    <w:rsid w:val="003F107B"/>
    <w:rsid w:val="003F28E7"/>
    <w:rsid w:val="003F336C"/>
    <w:rsid w:val="003F5981"/>
    <w:rsid w:val="003F5EFE"/>
    <w:rsid w:val="003F6329"/>
    <w:rsid w:val="003F6421"/>
    <w:rsid w:val="004005DB"/>
    <w:rsid w:val="00400872"/>
    <w:rsid w:val="00401A15"/>
    <w:rsid w:val="00401C56"/>
    <w:rsid w:val="0040372C"/>
    <w:rsid w:val="00404299"/>
    <w:rsid w:val="00405478"/>
    <w:rsid w:val="00410409"/>
    <w:rsid w:val="00410629"/>
    <w:rsid w:val="004124B7"/>
    <w:rsid w:val="00414DAE"/>
    <w:rsid w:val="00417026"/>
    <w:rsid w:val="0042005D"/>
    <w:rsid w:val="0042323F"/>
    <w:rsid w:val="00423A73"/>
    <w:rsid w:val="00425A43"/>
    <w:rsid w:val="00426165"/>
    <w:rsid w:val="00427AFE"/>
    <w:rsid w:val="004302E9"/>
    <w:rsid w:val="004310C5"/>
    <w:rsid w:val="00431567"/>
    <w:rsid w:val="004321C2"/>
    <w:rsid w:val="00433CCA"/>
    <w:rsid w:val="00434077"/>
    <w:rsid w:val="0043424E"/>
    <w:rsid w:val="00434B1D"/>
    <w:rsid w:val="00436BE2"/>
    <w:rsid w:val="00437B07"/>
    <w:rsid w:val="004439B9"/>
    <w:rsid w:val="00445C65"/>
    <w:rsid w:val="00445C97"/>
    <w:rsid w:val="0044724D"/>
    <w:rsid w:val="0045086D"/>
    <w:rsid w:val="004515E0"/>
    <w:rsid w:val="0045294C"/>
    <w:rsid w:val="00452F2A"/>
    <w:rsid w:val="00453D69"/>
    <w:rsid w:val="00457ED8"/>
    <w:rsid w:val="00457FCD"/>
    <w:rsid w:val="004607E9"/>
    <w:rsid w:val="00461980"/>
    <w:rsid w:val="00462156"/>
    <w:rsid w:val="00463BC9"/>
    <w:rsid w:val="00463F66"/>
    <w:rsid w:val="0046565A"/>
    <w:rsid w:val="004719FB"/>
    <w:rsid w:val="004722F5"/>
    <w:rsid w:val="0047312B"/>
    <w:rsid w:val="00474511"/>
    <w:rsid w:val="004770F4"/>
    <w:rsid w:val="0048224F"/>
    <w:rsid w:val="00486D34"/>
    <w:rsid w:val="00487718"/>
    <w:rsid w:val="004900F3"/>
    <w:rsid w:val="00491058"/>
    <w:rsid w:val="004927CB"/>
    <w:rsid w:val="00492C03"/>
    <w:rsid w:val="0049364C"/>
    <w:rsid w:val="004955DF"/>
    <w:rsid w:val="00496E65"/>
    <w:rsid w:val="004970D0"/>
    <w:rsid w:val="004A07B4"/>
    <w:rsid w:val="004A085D"/>
    <w:rsid w:val="004A09B6"/>
    <w:rsid w:val="004A260C"/>
    <w:rsid w:val="004A2A17"/>
    <w:rsid w:val="004A348A"/>
    <w:rsid w:val="004A5962"/>
    <w:rsid w:val="004B3CDE"/>
    <w:rsid w:val="004B6074"/>
    <w:rsid w:val="004B6194"/>
    <w:rsid w:val="004B61AD"/>
    <w:rsid w:val="004C1F27"/>
    <w:rsid w:val="004C2F77"/>
    <w:rsid w:val="004C66D8"/>
    <w:rsid w:val="004D0769"/>
    <w:rsid w:val="004D090D"/>
    <w:rsid w:val="004D311C"/>
    <w:rsid w:val="004D404E"/>
    <w:rsid w:val="004D484E"/>
    <w:rsid w:val="004D6C40"/>
    <w:rsid w:val="004E0108"/>
    <w:rsid w:val="004E19F1"/>
    <w:rsid w:val="004E1C7D"/>
    <w:rsid w:val="004E3B35"/>
    <w:rsid w:val="004E422B"/>
    <w:rsid w:val="004E5189"/>
    <w:rsid w:val="004F104F"/>
    <w:rsid w:val="004F1BDA"/>
    <w:rsid w:val="004F23E1"/>
    <w:rsid w:val="004F247C"/>
    <w:rsid w:val="004F333B"/>
    <w:rsid w:val="004F5543"/>
    <w:rsid w:val="004F5886"/>
    <w:rsid w:val="00500A3F"/>
    <w:rsid w:val="00501BC2"/>
    <w:rsid w:val="005028A4"/>
    <w:rsid w:val="0050592A"/>
    <w:rsid w:val="00507A86"/>
    <w:rsid w:val="00507C89"/>
    <w:rsid w:val="0052139B"/>
    <w:rsid w:val="005232AB"/>
    <w:rsid w:val="00523385"/>
    <w:rsid w:val="00523685"/>
    <w:rsid w:val="005236E2"/>
    <w:rsid w:val="00525796"/>
    <w:rsid w:val="00525DFB"/>
    <w:rsid w:val="00526551"/>
    <w:rsid w:val="005332F8"/>
    <w:rsid w:val="005343B1"/>
    <w:rsid w:val="005360DD"/>
    <w:rsid w:val="0053676F"/>
    <w:rsid w:val="005407DA"/>
    <w:rsid w:val="00540F2C"/>
    <w:rsid w:val="00541E8C"/>
    <w:rsid w:val="00542CF4"/>
    <w:rsid w:val="005433B9"/>
    <w:rsid w:val="00543F10"/>
    <w:rsid w:val="005449A7"/>
    <w:rsid w:val="00546050"/>
    <w:rsid w:val="00547143"/>
    <w:rsid w:val="00555473"/>
    <w:rsid w:val="00555AFD"/>
    <w:rsid w:val="00557346"/>
    <w:rsid w:val="00561041"/>
    <w:rsid w:val="0056257B"/>
    <w:rsid w:val="00562E51"/>
    <w:rsid w:val="005637B1"/>
    <w:rsid w:val="005656BF"/>
    <w:rsid w:val="00565BAE"/>
    <w:rsid w:val="00565BB5"/>
    <w:rsid w:val="00566909"/>
    <w:rsid w:val="00567322"/>
    <w:rsid w:val="00570879"/>
    <w:rsid w:val="005802BC"/>
    <w:rsid w:val="00581284"/>
    <w:rsid w:val="005817AD"/>
    <w:rsid w:val="00582481"/>
    <w:rsid w:val="0058277D"/>
    <w:rsid w:val="00582BE2"/>
    <w:rsid w:val="00582C92"/>
    <w:rsid w:val="00582FA0"/>
    <w:rsid w:val="00583109"/>
    <w:rsid w:val="0058466D"/>
    <w:rsid w:val="00584925"/>
    <w:rsid w:val="0058686E"/>
    <w:rsid w:val="00587315"/>
    <w:rsid w:val="005877F0"/>
    <w:rsid w:val="00587F4D"/>
    <w:rsid w:val="00590D4E"/>
    <w:rsid w:val="0059136E"/>
    <w:rsid w:val="00592739"/>
    <w:rsid w:val="00593210"/>
    <w:rsid w:val="005971C9"/>
    <w:rsid w:val="005A02E7"/>
    <w:rsid w:val="005A02EA"/>
    <w:rsid w:val="005A2E58"/>
    <w:rsid w:val="005A4AA6"/>
    <w:rsid w:val="005A5C5F"/>
    <w:rsid w:val="005A61FD"/>
    <w:rsid w:val="005A633E"/>
    <w:rsid w:val="005A6701"/>
    <w:rsid w:val="005B1E17"/>
    <w:rsid w:val="005B30CE"/>
    <w:rsid w:val="005B3B8F"/>
    <w:rsid w:val="005B40FE"/>
    <w:rsid w:val="005B432A"/>
    <w:rsid w:val="005C0683"/>
    <w:rsid w:val="005C4105"/>
    <w:rsid w:val="005C5C9A"/>
    <w:rsid w:val="005D0E59"/>
    <w:rsid w:val="005D1215"/>
    <w:rsid w:val="005D2083"/>
    <w:rsid w:val="005D269C"/>
    <w:rsid w:val="005D26E1"/>
    <w:rsid w:val="005D2EA5"/>
    <w:rsid w:val="005D39A9"/>
    <w:rsid w:val="005D3AB4"/>
    <w:rsid w:val="005D7DDF"/>
    <w:rsid w:val="005E0689"/>
    <w:rsid w:val="005E2FE2"/>
    <w:rsid w:val="005E44F9"/>
    <w:rsid w:val="005E480F"/>
    <w:rsid w:val="005E530A"/>
    <w:rsid w:val="005E5FB9"/>
    <w:rsid w:val="005E75F4"/>
    <w:rsid w:val="005F4F9F"/>
    <w:rsid w:val="005F732A"/>
    <w:rsid w:val="00600509"/>
    <w:rsid w:val="0060195E"/>
    <w:rsid w:val="00605DFD"/>
    <w:rsid w:val="00611142"/>
    <w:rsid w:val="00611E31"/>
    <w:rsid w:val="00620456"/>
    <w:rsid w:val="00621770"/>
    <w:rsid w:val="00621B68"/>
    <w:rsid w:val="00622FAC"/>
    <w:rsid w:val="00623CBC"/>
    <w:rsid w:val="00627B6B"/>
    <w:rsid w:val="00627C7D"/>
    <w:rsid w:val="00633579"/>
    <w:rsid w:val="0063706E"/>
    <w:rsid w:val="00640919"/>
    <w:rsid w:val="00640C11"/>
    <w:rsid w:val="006411F6"/>
    <w:rsid w:val="0064233F"/>
    <w:rsid w:val="00643401"/>
    <w:rsid w:val="00647CA4"/>
    <w:rsid w:val="00647E1B"/>
    <w:rsid w:val="00650457"/>
    <w:rsid w:val="0065077B"/>
    <w:rsid w:val="00651864"/>
    <w:rsid w:val="00651E6F"/>
    <w:rsid w:val="006522C1"/>
    <w:rsid w:val="00652F32"/>
    <w:rsid w:val="00653682"/>
    <w:rsid w:val="00653E89"/>
    <w:rsid w:val="006542A6"/>
    <w:rsid w:val="00656787"/>
    <w:rsid w:val="00656AA1"/>
    <w:rsid w:val="006637BD"/>
    <w:rsid w:val="006666D9"/>
    <w:rsid w:val="00666F2A"/>
    <w:rsid w:val="00671538"/>
    <w:rsid w:val="006722A9"/>
    <w:rsid w:val="00675AE2"/>
    <w:rsid w:val="00677C25"/>
    <w:rsid w:val="00680577"/>
    <w:rsid w:val="006809CC"/>
    <w:rsid w:val="006825EE"/>
    <w:rsid w:val="006848ED"/>
    <w:rsid w:val="0068496C"/>
    <w:rsid w:val="00685868"/>
    <w:rsid w:val="0068676B"/>
    <w:rsid w:val="00687055"/>
    <w:rsid w:val="00687452"/>
    <w:rsid w:val="00687CEA"/>
    <w:rsid w:val="00693691"/>
    <w:rsid w:val="00695328"/>
    <w:rsid w:val="006A0586"/>
    <w:rsid w:val="006A2576"/>
    <w:rsid w:val="006A479E"/>
    <w:rsid w:val="006A60AE"/>
    <w:rsid w:val="006A6F75"/>
    <w:rsid w:val="006B797E"/>
    <w:rsid w:val="006C0459"/>
    <w:rsid w:val="006C0DCD"/>
    <w:rsid w:val="006C0F48"/>
    <w:rsid w:val="006C5387"/>
    <w:rsid w:val="006C76AA"/>
    <w:rsid w:val="006C7E5C"/>
    <w:rsid w:val="006D487A"/>
    <w:rsid w:val="006D4EAC"/>
    <w:rsid w:val="006D5371"/>
    <w:rsid w:val="006D7E7F"/>
    <w:rsid w:val="006E067D"/>
    <w:rsid w:val="006E0C9E"/>
    <w:rsid w:val="006E0F30"/>
    <w:rsid w:val="006E16B7"/>
    <w:rsid w:val="006E21C7"/>
    <w:rsid w:val="006E4DE4"/>
    <w:rsid w:val="006F1331"/>
    <w:rsid w:val="006F160D"/>
    <w:rsid w:val="006F35AB"/>
    <w:rsid w:val="006F3847"/>
    <w:rsid w:val="006F494D"/>
    <w:rsid w:val="006F5129"/>
    <w:rsid w:val="006F5A21"/>
    <w:rsid w:val="006F758E"/>
    <w:rsid w:val="00700854"/>
    <w:rsid w:val="00702D69"/>
    <w:rsid w:val="007042C3"/>
    <w:rsid w:val="00705D40"/>
    <w:rsid w:val="00706459"/>
    <w:rsid w:val="007078B2"/>
    <w:rsid w:val="00711FDF"/>
    <w:rsid w:val="00717DBC"/>
    <w:rsid w:val="007216E0"/>
    <w:rsid w:val="00722737"/>
    <w:rsid w:val="00724224"/>
    <w:rsid w:val="00724F4C"/>
    <w:rsid w:val="0072508C"/>
    <w:rsid w:val="00727346"/>
    <w:rsid w:val="00727946"/>
    <w:rsid w:val="007316A9"/>
    <w:rsid w:val="0073391F"/>
    <w:rsid w:val="0074123F"/>
    <w:rsid w:val="00741A9A"/>
    <w:rsid w:val="00741E4E"/>
    <w:rsid w:val="00742DBE"/>
    <w:rsid w:val="00742E84"/>
    <w:rsid w:val="00744DA7"/>
    <w:rsid w:val="007471E4"/>
    <w:rsid w:val="00754058"/>
    <w:rsid w:val="00754731"/>
    <w:rsid w:val="00760C8B"/>
    <w:rsid w:val="00761EEA"/>
    <w:rsid w:val="00762C3F"/>
    <w:rsid w:val="00764FD5"/>
    <w:rsid w:val="00767213"/>
    <w:rsid w:val="00767566"/>
    <w:rsid w:val="007710F1"/>
    <w:rsid w:val="007712D6"/>
    <w:rsid w:val="00776DE4"/>
    <w:rsid w:val="00783AAD"/>
    <w:rsid w:val="00783D45"/>
    <w:rsid w:val="0078552E"/>
    <w:rsid w:val="0078609C"/>
    <w:rsid w:val="0078630C"/>
    <w:rsid w:val="007870B8"/>
    <w:rsid w:val="007874A9"/>
    <w:rsid w:val="00787700"/>
    <w:rsid w:val="00787E86"/>
    <w:rsid w:val="007919E3"/>
    <w:rsid w:val="0079380C"/>
    <w:rsid w:val="00793FC3"/>
    <w:rsid w:val="0079570A"/>
    <w:rsid w:val="00797163"/>
    <w:rsid w:val="00797E76"/>
    <w:rsid w:val="007A1B20"/>
    <w:rsid w:val="007A2071"/>
    <w:rsid w:val="007A2970"/>
    <w:rsid w:val="007A63D5"/>
    <w:rsid w:val="007B07E8"/>
    <w:rsid w:val="007B0F76"/>
    <w:rsid w:val="007B2C2D"/>
    <w:rsid w:val="007B4229"/>
    <w:rsid w:val="007C11D7"/>
    <w:rsid w:val="007C1794"/>
    <w:rsid w:val="007C6185"/>
    <w:rsid w:val="007C6552"/>
    <w:rsid w:val="007D10C0"/>
    <w:rsid w:val="007D1E6E"/>
    <w:rsid w:val="007D21BE"/>
    <w:rsid w:val="007D51F7"/>
    <w:rsid w:val="007D7FDC"/>
    <w:rsid w:val="007E17F7"/>
    <w:rsid w:val="007E323C"/>
    <w:rsid w:val="007E33DC"/>
    <w:rsid w:val="007E47C7"/>
    <w:rsid w:val="007E7122"/>
    <w:rsid w:val="007F01C3"/>
    <w:rsid w:val="007F2BB0"/>
    <w:rsid w:val="007F45AC"/>
    <w:rsid w:val="007F4BBB"/>
    <w:rsid w:val="007F4D11"/>
    <w:rsid w:val="007F518F"/>
    <w:rsid w:val="007F64C1"/>
    <w:rsid w:val="008005B1"/>
    <w:rsid w:val="008010C5"/>
    <w:rsid w:val="00801BB2"/>
    <w:rsid w:val="008032DF"/>
    <w:rsid w:val="00803E5F"/>
    <w:rsid w:val="00807D4E"/>
    <w:rsid w:val="00811ED3"/>
    <w:rsid w:val="00812981"/>
    <w:rsid w:val="00812B1D"/>
    <w:rsid w:val="0081554F"/>
    <w:rsid w:val="008161B6"/>
    <w:rsid w:val="00816B5D"/>
    <w:rsid w:val="00817DB6"/>
    <w:rsid w:val="00820B50"/>
    <w:rsid w:val="00821838"/>
    <w:rsid w:val="00824A23"/>
    <w:rsid w:val="00824DB6"/>
    <w:rsid w:val="00826659"/>
    <w:rsid w:val="008266F1"/>
    <w:rsid w:val="0082783D"/>
    <w:rsid w:val="008319E2"/>
    <w:rsid w:val="0083320A"/>
    <w:rsid w:val="00840014"/>
    <w:rsid w:val="00843A7C"/>
    <w:rsid w:val="00847604"/>
    <w:rsid w:val="008509D6"/>
    <w:rsid w:val="00850F49"/>
    <w:rsid w:val="00852019"/>
    <w:rsid w:val="00852B6B"/>
    <w:rsid w:val="00853F56"/>
    <w:rsid w:val="00854CE5"/>
    <w:rsid w:val="0085636E"/>
    <w:rsid w:val="008569DC"/>
    <w:rsid w:val="0086009D"/>
    <w:rsid w:val="008603D9"/>
    <w:rsid w:val="00860F4B"/>
    <w:rsid w:val="008613FF"/>
    <w:rsid w:val="008651A2"/>
    <w:rsid w:val="008702BF"/>
    <w:rsid w:val="0087046B"/>
    <w:rsid w:val="00871811"/>
    <w:rsid w:val="00871A66"/>
    <w:rsid w:val="00873520"/>
    <w:rsid w:val="00873FF6"/>
    <w:rsid w:val="008755CE"/>
    <w:rsid w:val="00875B82"/>
    <w:rsid w:val="00875F69"/>
    <w:rsid w:val="008762BB"/>
    <w:rsid w:val="00876414"/>
    <w:rsid w:val="0087745D"/>
    <w:rsid w:val="0088073F"/>
    <w:rsid w:val="008812BB"/>
    <w:rsid w:val="00883E22"/>
    <w:rsid w:val="00885E61"/>
    <w:rsid w:val="008868D3"/>
    <w:rsid w:val="00890D02"/>
    <w:rsid w:val="008913E5"/>
    <w:rsid w:val="008923F8"/>
    <w:rsid w:val="0089442C"/>
    <w:rsid w:val="00894AB5"/>
    <w:rsid w:val="008A1B9B"/>
    <w:rsid w:val="008A29BA"/>
    <w:rsid w:val="008A2DAE"/>
    <w:rsid w:val="008A2E43"/>
    <w:rsid w:val="008A2E9C"/>
    <w:rsid w:val="008A4091"/>
    <w:rsid w:val="008A60BC"/>
    <w:rsid w:val="008B0AFE"/>
    <w:rsid w:val="008B0B0E"/>
    <w:rsid w:val="008B2E9B"/>
    <w:rsid w:val="008B465F"/>
    <w:rsid w:val="008B5342"/>
    <w:rsid w:val="008B6B44"/>
    <w:rsid w:val="008B72A5"/>
    <w:rsid w:val="008C0AD1"/>
    <w:rsid w:val="008C23B9"/>
    <w:rsid w:val="008C37B4"/>
    <w:rsid w:val="008C4B1F"/>
    <w:rsid w:val="008C538F"/>
    <w:rsid w:val="008C65E0"/>
    <w:rsid w:val="008C6A93"/>
    <w:rsid w:val="008C77EE"/>
    <w:rsid w:val="008D027F"/>
    <w:rsid w:val="008D08E7"/>
    <w:rsid w:val="008D5629"/>
    <w:rsid w:val="008D711E"/>
    <w:rsid w:val="008E1C6E"/>
    <w:rsid w:val="008E6265"/>
    <w:rsid w:val="008E75A2"/>
    <w:rsid w:val="008E7A80"/>
    <w:rsid w:val="008E7DC3"/>
    <w:rsid w:val="008F21CA"/>
    <w:rsid w:val="008F5C65"/>
    <w:rsid w:val="008F728A"/>
    <w:rsid w:val="009004B2"/>
    <w:rsid w:val="009011FC"/>
    <w:rsid w:val="00910E1A"/>
    <w:rsid w:val="00913E9C"/>
    <w:rsid w:val="00913FB5"/>
    <w:rsid w:val="0091586E"/>
    <w:rsid w:val="00916AFD"/>
    <w:rsid w:val="00922E23"/>
    <w:rsid w:val="00924D55"/>
    <w:rsid w:val="00927FB5"/>
    <w:rsid w:val="00930147"/>
    <w:rsid w:val="009326A3"/>
    <w:rsid w:val="00932EAF"/>
    <w:rsid w:val="00932F24"/>
    <w:rsid w:val="00934174"/>
    <w:rsid w:val="00934586"/>
    <w:rsid w:val="009368EC"/>
    <w:rsid w:val="00943112"/>
    <w:rsid w:val="00944E99"/>
    <w:rsid w:val="00945821"/>
    <w:rsid w:val="00947DA7"/>
    <w:rsid w:val="00950BAA"/>
    <w:rsid w:val="00951D74"/>
    <w:rsid w:val="00952242"/>
    <w:rsid w:val="009526FD"/>
    <w:rsid w:val="00954FB8"/>
    <w:rsid w:val="00955A3F"/>
    <w:rsid w:val="009603C0"/>
    <w:rsid w:val="00960502"/>
    <w:rsid w:val="00960AE1"/>
    <w:rsid w:val="0096410C"/>
    <w:rsid w:val="00966607"/>
    <w:rsid w:val="009666F4"/>
    <w:rsid w:val="00967DFF"/>
    <w:rsid w:val="009703BF"/>
    <w:rsid w:val="00971647"/>
    <w:rsid w:val="00971C66"/>
    <w:rsid w:val="00973A4E"/>
    <w:rsid w:val="009746BD"/>
    <w:rsid w:val="009748AD"/>
    <w:rsid w:val="009829EE"/>
    <w:rsid w:val="00983264"/>
    <w:rsid w:val="00985872"/>
    <w:rsid w:val="00987F8F"/>
    <w:rsid w:val="00990EDA"/>
    <w:rsid w:val="00991D43"/>
    <w:rsid w:val="0099369A"/>
    <w:rsid w:val="009953FA"/>
    <w:rsid w:val="0099591B"/>
    <w:rsid w:val="00995B43"/>
    <w:rsid w:val="0099659E"/>
    <w:rsid w:val="00997532"/>
    <w:rsid w:val="009A08C5"/>
    <w:rsid w:val="009A4C2C"/>
    <w:rsid w:val="009A6DAD"/>
    <w:rsid w:val="009B0D39"/>
    <w:rsid w:val="009B1B80"/>
    <w:rsid w:val="009B1BE0"/>
    <w:rsid w:val="009B1C99"/>
    <w:rsid w:val="009B36C5"/>
    <w:rsid w:val="009B5FCF"/>
    <w:rsid w:val="009B6436"/>
    <w:rsid w:val="009C47D8"/>
    <w:rsid w:val="009C4B01"/>
    <w:rsid w:val="009C4FB3"/>
    <w:rsid w:val="009C5FDE"/>
    <w:rsid w:val="009C61A8"/>
    <w:rsid w:val="009D0782"/>
    <w:rsid w:val="009D0CE4"/>
    <w:rsid w:val="009D2111"/>
    <w:rsid w:val="009D42BB"/>
    <w:rsid w:val="009D6552"/>
    <w:rsid w:val="009D765C"/>
    <w:rsid w:val="009E06F8"/>
    <w:rsid w:val="009E3ADA"/>
    <w:rsid w:val="009E6F22"/>
    <w:rsid w:val="009F00D4"/>
    <w:rsid w:val="009F014F"/>
    <w:rsid w:val="009F4C8E"/>
    <w:rsid w:val="00A02487"/>
    <w:rsid w:val="00A03494"/>
    <w:rsid w:val="00A07196"/>
    <w:rsid w:val="00A1089F"/>
    <w:rsid w:val="00A10BCD"/>
    <w:rsid w:val="00A110D1"/>
    <w:rsid w:val="00A13B2E"/>
    <w:rsid w:val="00A14D18"/>
    <w:rsid w:val="00A15007"/>
    <w:rsid w:val="00A15DF2"/>
    <w:rsid w:val="00A1629C"/>
    <w:rsid w:val="00A16CD4"/>
    <w:rsid w:val="00A1713E"/>
    <w:rsid w:val="00A20744"/>
    <w:rsid w:val="00A20C23"/>
    <w:rsid w:val="00A2534F"/>
    <w:rsid w:val="00A259B4"/>
    <w:rsid w:val="00A262C7"/>
    <w:rsid w:val="00A274B7"/>
    <w:rsid w:val="00A27AA4"/>
    <w:rsid w:val="00A27F32"/>
    <w:rsid w:val="00A30400"/>
    <w:rsid w:val="00A36FF5"/>
    <w:rsid w:val="00A37F55"/>
    <w:rsid w:val="00A42747"/>
    <w:rsid w:val="00A43BB4"/>
    <w:rsid w:val="00A449B4"/>
    <w:rsid w:val="00A4620B"/>
    <w:rsid w:val="00A479A0"/>
    <w:rsid w:val="00A5050F"/>
    <w:rsid w:val="00A54132"/>
    <w:rsid w:val="00A60549"/>
    <w:rsid w:val="00A6067D"/>
    <w:rsid w:val="00A60978"/>
    <w:rsid w:val="00A61DF9"/>
    <w:rsid w:val="00A628C6"/>
    <w:rsid w:val="00A667B5"/>
    <w:rsid w:val="00A66857"/>
    <w:rsid w:val="00A71258"/>
    <w:rsid w:val="00A7218A"/>
    <w:rsid w:val="00A72F07"/>
    <w:rsid w:val="00A73F4C"/>
    <w:rsid w:val="00A74679"/>
    <w:rsid w:val="00A816EC"/>
    <w:rsid w:val="00A8244E"/>
    <w:rsid w:val="00A847D8"/>
    <w:rsid w:val="00A859D0"/>
    <w:rsid w:val="00A90189"/>
    <w:rsid w:val="00A9149C"/>
    <w:rsid w:val="00A917C0"/>
    <w:rsid w:val="00A91B6C"/>
    <w:rsid w:val="00A91E35"/>
    <w:rsid w:val="00A9222F"/>
    <w:rsid w:val="00A932EC"/>
    <w:rsid w:val="00A937E8"/>
    <w:rsid w:val="00A95CDD"/>
    <w:rsid w:val="00A97B43"/>
    <w:rsid w:val="00AA10C2"/>
    <w:rsid w:val="00AA6706"/>
    <w:rsid w:val="00AA6F61"/>
    <w:rsid w:val="00AB0554"/>
    <w:rsid w:val="00AB0BB4"/>
    <w:rsid w:val="00AB3FD9"/>
    <w:rsid w:val="00AB4F05"/>
    <w:rsid w:val="00AB4F85"/>
    <w:rsid w:val="00AB6082"/>
    <w:rsid w:val="00AB76E1"/>
    <w:rsid w:val="00AC1660"/>
    <w:rsid w:val="00AC1BA3"/>
    <w:rsid w:val="00AC465A"/>
    <w:rsid w:val="00AC55D6"/>
    <w:rsid w:val="00AC627C"/>
    <w:rsid w:val="00AD1813"/>
    <w:rsid w:val="00AD4C23"/>
    <w:rsid w:val="00AD7FED"/>
    <w:rsid w:val="00AE06C1"/>
    <w:rsid w:val="00AE157B"/>
    <w:rsid w:val="00AE2D57"/>
    <w:rsid w:val="00AE5D91"/>
    <w:rsid w:val="00AE6299"/>
    <w:rsid w:val="00AF1DB8"/>
    <w:rsid w:val="00AF1F39"/>
    <w:rsid w:val="00AF216B"/>
    <w:rsid w:val="00AF3B77"/>
    <w:rsid w:val="00AF3C85"/>
    <w:rsid w:val="00AF6E26"/>
    <w:rsid w:val="00AF70BA"/>
    <w:rsid w:val="00B00EC9"/>
    <w:rsid w:val="00B015A6"/>
    <w:rsid w:val="00B03416"/>
    <w:rsid w:val="00B03427"/>
    <w:rsid w:val="00B0510E"/>
    <w:rsid w:val="00B05741"/>
    <w:rsid w:val="00B05B5B"/>
    <w:rsid w:val="00B06CBA"/>
    <w:rsid w:val="00B07D68"/>
    <w:rsid w:val="00B10535"/>
    <w:rsid w:val="00B11945"/>
    <w:rsid w:val="00B12237"/>
    <w:rsid w:val="00B12DA2"/>
    <w:rsid w:val="00B13F97"/>
    <w:rsid w:val="00B142ED"/>
    <w:rsid w:val="00B143D6"/>
    <w:rsid w:val="00B16F16"/>
    <w:rsid w:val="00B175E8"/>
    <w:rsid w:val="00B1783B"/>
    <w:rsid w:val="00B20243"/>
    <w:rsid w:val="00B20A08"/>
    <w:rsid w:val="00B220BC"/>
    <w:rsid w:val="00B23040"/>
    <w:rsid w:val="00B23A17"/>
    <w:rsid w:val="00B24962"/>
    <w:rsid w:val="00B25ACD"/>
    <w:rsid w:val="00B27D82"/>
    <w:rsid w:val="00B30840"/>
    <w:rsid w:val="00B31293"/>
    <w:rsid w:val="00B328C2"/>
    <w:rsid w:val="00B32B1E"/>
    <w:rsid w:val="00B32C64"/>
    <w:rsid w:val="00B36148"/>
    <w:rsid w:val="00B41378"/>
    <w:rsid w:val="00B42F40"/>
    <w:rsid w:val="00B436C7"/>
    <w:rsid w:val="00B43808"/>
    <w:rsid w:val="00B44336"/>
    <w:rsid w:val="00B44454"/>
    <w:rsid w:val="00B44D07"/>
    <w:rsid w:val="00B45291"/>
    <w:rsid w:val="00B457E7"/>
    <w:rsid w:val="00B52B4A"/>
    <w:rsid w:val="00B5405C"/>
    <w:rsid w:val="00B57207"/>
    <w:rsid w:val="00B71E33"/>
    <w:rsid w:val="00B72161"/>
    <w:rsid w:val="00B74B2C"/>
    <w:rsid w:val="00B753AD"/>
    <w:rsid w:val="00B76821"/>
    <w:rsid w:val="00B77546"/>
    <w:rsid w:val="00B831C4"/>
    <w:rsid w:val="00B849CE"/>
    <w:rsid w:val="00B84E04"/>
    <w:rsid w:val="00B86E48"/>
    <w:rsid w:val="00B9082F"/>
    <w:rsid w:val="00B96403"/>
    <w:rsid w:val="00B97C3B"/>
    <w:rsid w:val="00BA1F40"/>
    <w:rsid w:val="00BA304A"/>
    <w:rsid w:val="00BA33C5"/>
    <w:rsid w:val="00BA6046"/>
    <w:rsid w:val="00BA695D"/>
    <w:rsid w:val="00BA73D3"/>
    <w:rsid w:val="00BB0B4E"/>
    <w:rsid w:val="00BB2396"/>
    <w:rsid w:val="00BB3570"/>
    <w:rsid w:val="00BC084D"/>
    <w:rsid w:val="00BC2488"/>
    <w:rsid w:val="00BC3E2C"/>
    <w:rsid w:val="00BD199B"/>
    <w:rsid w:val="00BD1EB0"/>
    <w:rsid w:val="00BD32CF"/>
    <w:rsid w:val="00BD6B5A"/>
    <w:rsid w:val="00BD72BB"/>
    <w:rsid w:val="00BE11F3"/>
    <w:rsid w:val="00BE2BE7"/>
    <w:rsid w:val="00BE3075"/>
    <w:rsid w:val="00BE40EC"/>
    <w:rsid w:val="00BE6CA8"/>
    <w:rsid w:val="00BE704F"/>
    <w:rsid w:val="00BE75A9"/>
    <w:rsid w:val="00BF1CFC"/>
    <w:rsid w:val="00BF3811"/>
    <w:rsid w:val="00BF746F"/>
    <w:rsid w:val="00BF7501"/>
    <w:rsid w:val="00C001B2"/>
    <w:rsid w:val="00C01823"/>
    <w:rsid w:val="00C019C7"/>
    <w:rsid w:val="00C03FCE"/>
    <w:rsid w:val="00C05277"/>
    <w:rsid w:val="00C0650C"/>
    <w:rsid w:val="00C07346"/>
    <w:rsid w:val="00C108FB"/>
    <w:rsid w:val="00C132A7"/>
    <w:rsid w:val="00C13A93"/>
    <w:rsid w:val="00C1517B"/>
    <w:rsid w:val="00C1621C"/>
    <w:rsid w:val="00C26E42"/>
    <w:rsid w:val="00C279C6"/>
    <w:rsid w:val="00C30989"/>
    <w:rsid w:val="00C30A78"/>
    <w:rsid w:val="00C3218C"/>
    <w:rsid w:val="00C32514"/>
    <w:rsid w:val="00C340B4"/>
    <w:rsid w:val="00C37C45"/>
    <w:rsid w:val="00C40634"/>
    <w:rsid w:val="00C41DE1"/>
    <w:rsid w:val="00C43EFD"/>
    <w:rsid w:val="00C4676D"/>
    <w:rsid w:val="00C4726A"/>
    <w:rsid w:val="00C47353"/>
    <w:rsid w:val="00C506B9"/>
    <w:rsid w:val="00C511C4"/>
    <w:rsid w:val="00C517A1"/>
    <w:rsid w:val="00C554C8"/>
    <w:rsid w:val="00C5552F"/>
    <w:rsid w:val="00C55F06"/>
    <w:rsid w:val="00C566C9"/>
    <w:rsid w:val="00C6231F"/>
    <w:rsid w:val="00C62820"/>
    <w:rsid w:val="00C643C9"/>
    <w:rsid w:val="00C646EC"/>
    <w:rsid w:val="00C64A95"/>
    <w:rsid w:val="00C67633"/>
    <w:rsid w:val="00C714A5"/>
    <w:rsid w:val="00C71643"/>
    <w:rsid w:val="00C719FD"/>
    <w:rsid w:val="00C724A3"/>
    <w:rsid w:val="00C72B7B"/>
    <w:rsid w:val="00C72D21"/>
    <w:rsid w:val="00C735DC"/>
    <w:rsid w:val="00C80200"/>
    <w:rsid w:val="00C80817"/>
    <w:rsid w:val="00C822A5"/>
    <w:rsid w:val="00C825B3"/>
    <w:rsid w:val="00C8431B"/>
    <w:rsid w:val="00C84B9E"/>
    <w:rsid w:val="00C850AB"/>
    <w:rsid w:val="00C859A8"/>
    <w:rsid w:val="00C8755F"/>
    <w:rsid w:val="00C9082C"/>
    <w:rsid w:val="00C916CC"/>
    <w:rsid w:val="00C919FC"/>
    <w:rsid w:val="00C925CA"/>
    <w:rsid w:val="00C9266A"/>
    <w:rsid w:val="00C92E89"/>
    <w:rsid w:val="00C95539"/>
    <w:rsid w:val="00C96F76"/>
    <w:rsid w:val="00CA0E00"/>
    <w:rsid w:val="00CA29C6"/>
    <w:rsid w:val="00CA2E0A"/>
    <w:rsid w:val="00CA46CE"/>
    <w:rsid w:val="00CA5FAD"/>
    <w:rsid w:val="00CA638D"/>
    <w:rsid w:val="00CA77CC"/>
    <w:rsid w:val="00CA7F26"/>
    <w:rsid w:val="00CB1BBE"/>
    <w:rsid w:val="00CB46F0"/>
    <w:rsid w:val="00CB77A9"/>
    <w:rsid w:val="00CC1FD7"/>
    <w:rsid w:val="00CC3061"/>
    <w:rsid w:val="00CC4EA6"/>
    <w:rsid w:val="00CC656F"/>
    <w:rsid w:val="00CC7F0F"/>
    <w:rsid w:val="00CD0881"/>
    <w:rsid w:val="00CD33CB"/>
    <w:rsid w:val="00CD5B4C"/>
    <w:rsid w:val="00CD620A"/>
    <w:rsid w:val="00CD6DE8"/>
    <w:rsid w:val="00CE06C4"/>
    <w:rsid w:val="00CE0C89"/>
    <w:rsid w:val="00CE123F"/>
    <w:rsid w:val="00CE2AB4"/>
    <w:rsid w:val="00CE4E81"/>
    <w:rsid w:val="00CE6CB1"/>
    <w:rsid w:val="00CE7D55"/>
    <w:rsid w:val="00CF1160"/>
    <w:rsid w:val="00CF2246"/>
    <w:rsid w:val="00CF57A6"/>
    <w:rsid w:val="00CF67AA"/>
    <w:rsid w:val="00D04CEC"/>
    <w:rsid w:val="00D0558B"/>
    <w:rsid w:val="00D0693D"/>
    <w:rsid w:val="00D06B31"/>
    <w:rsid w:val="00D07A7B"/>
    <w:rsid w:val="00D15545"/>
    <w:rsid w:val="00D1702B"/>
    <w:rsid w:val="00D20198"/>
    <w:rsid w:val="00D22797"/>
    <w:rsid w:val="00D228CF"/>
    <w:rsid w:val="00D24502"/>
    <w:rsid w:val="00D276A5"/>
    <w:rsid w:val="00D34017"/>
    <w:rsid w:val="00D34462"/>
    <w:rsid w:val="00D34B47"/>
    <w:rsid w:val="00D35868"/>
    <w:rsid w:val="00D36539"/>
    <w:rsid w:val="00D370F5"/>
    <w:rsid w:val="00D3752B"/>
    <w:rsid w:val="00D43131"/>
    <w:rsid w:val="00D45562"/>
    <w:rsid w:val="00D460F5"/>
    <w:rsid w:val="00D46C36"/>
    <w:rsid w:val="00D50CBC"/>
    <w:rsid w:val="00D522B7"/>
    <w:rsid w:val="00D527DC"/>
    <w:rsid w:val="00D5566E"/>
    <w:rsid w:val="00D61446"/>
    <w:rsid w:val="00D63AB4"/>
    <w:rsid w:val="00D675F5"/>
    <w:rsid w:val="00D679EB"/>
    <w:rsid w:val="00D67E45"/>
    <w:rsid w:val="00D71AC2"/>
    <w:rsid w:val="00D759EA"/>
    <w:rsid w:val="00D77986"/>
    <w:rsid w:val="00D77C5F"/>
    <w:rsid w:val="00D83ED3"/>
    <w:rsid w:val="00D8578F"/>
    <w:rsid w:val="00D864F6"/>
    <w:rsid w:val="00D86DC7"/>
    <w:rsid w:val="00D94C8B"/>
    <w:rsid w:val="00D95A0C"/>
    <w:rsid w:val="00D96089"/>
    <w:rsid w:val="00DA01B3"/>
    <w:rsid w:val="00DA1506"/>
    <w:rsid w:val="00DA28AA"/>
    <w:rsid w:val="00DA2B88"/>
    <w:rsid w:val="00DA366B"/>
    <w:rsid w:val="00DA474B"/>
    <w:rsid w:val="00DA4E67"/>
    <w:rsid w:val="00DB2118"/>
    <w:rsid w:val="00DB54E1"/>
    <w:rsid w:val="00DB6F21"/>
    <w:rsid w:val="00DB7CCE"/>
    <w:rsid w:val="00DC4B78"/>
    <w:rsid w:val="00DC6360"/>
    <w:rsid w:val="00DC715A"/>
    <w:rsid w:val="00DD2235"/>
    <w:rsid w:val="00DD29B0"/>
    <w:rsid w:val="00DD3A40"/>
    <w:rsid w:val="00DD50BC"/>
    <w:rsid w:val="00DD5E14"/>
    <w:rsid w:val="00DE06DA"/>
    <w:rsid w:val="00DE07E3"/>
    <w:rsid w:val="00DE0BB5"/>
    <w:rsid w:val="00DE3B87"/>
    <w:rsid w:val="00DF0246"/>
    <w:rsid w:val="00DF1C3E"/>
    <w:rsid w:val="00DF2944"/>
    <w:rsid w:val="00DF39DE"/>
    <w:rsid w:val="00DF54D1"/>
    <w:rsid w:val="00E01D58"/>
    <w:rsid w:val="00E02977"/>
    <w:rsid w:val="00E04DD6"/>
    <w:rsid w:val="00E0611D"/>
    <w:rsid w:val="00E13C20"/>
    <w:rsid w:val="00E201F0"/>
    <w:rsid w:val="00E220E5"/>
    <w:rsid w:val="00E237C2"/>
    <w:rsid w:val="00E253AF"/>
    <w:rsid w:val="00E2567E"/>
    <w:rsid w:val="00E3009B"/>
    <w:rsid w:val="00E32A3E"/>
    <w:rsid w:val="00E350F2"/>
    <w:rsid w:val="00E35AAA"/>
    <w:rsid w:val="00E37AF8"/>
    <w:rsid w:val="00E4071D"/>
    <w:rsid w:val="00E412A2"/>
    <w:rsid w:val="00E41509"/>
    <w:rsid w:val="00E4406D"/>
    <w:rsid w:val="00E51183"/>
    <w:rsid w:val="00E53992"/>
    <w:rsid w:val="00E545CF"/>
    <w:rsid w:val="00E61B55"/>
    <w:rsid w:val="00E64942"/>
    <w:rsid w:val="00E657CC"/>
    <w:rsid w:val="00E66719"/>
    <w:rsid w:val="00E70A06"/>
    <w:rsid w:val="00E72374"/>
    <w:rsid w:val="00E72E00"/>
    <w:rsid w:val="00E7342F"/>
    <w:rsid w:val="00E74153"/>
    <w:rsid w:val="00E749CD"/>
    <w:rsid w:val="00E7728C"/>
    <w:rsid w:val="00E84360"/>
    <w:rsid w:val="00E84C8B"/>
    <w:rsid w:val="00E92356"/>
    <w:rsid w:val="00E96D71"/>
    <w:rsid w:val="00EA00B8"/>
    <w:rsid w:val="00EA1D26"/>
    <w:rsid w:val="00EA23C9"/>
    <w:rsid w:val="00EA5BA9"/>
    <w:rsid w:val="00EA7976"/>
    <w:rsid w:val="00EB09E0"/>
    <w:rsid w:val="00EB22ED"/>
    <w:rsid w:val="00EC05CD"/>
    <w:rsid w:val="00EC2C1D"/>
    <w:rsid w:val="00EC308F"/>
    <w:rsid w:val="00EC3948"/>
    <w:rsid w:val="00EC45A2"/>
    <w:rsid w:val="00EC66BF"/>
    <w:rsid w:val="00ED1CFE"/>
    <w:rsid w:val="00ED205D"/>
    <w:rsid w:val="00ED3E74"/>
    <w:rsid w:val="00ED5640"/>
    <w:rsid w:val="00ED5B2A"/>
    <w:rsid w:val="00ED5F86"/>
    <w:rsid w:val="00ED6ED4"/>
    <w:rsid w:val="00EE1044"/>
    <w:rsid w:val="00EE5FC6"/>
    <w:rsid w:val="00EE60CE"/>
    <w:rsid w:val="00EE653E"/>
    <w:rsid w:val="00EF3242"/>
    <w:rsid w:val="00EF5201"/>
    <w:rsid w:val="00EF5F7F"/>
    <w:rsid w:val="00F00B7D"/>
    <w:rsid w:val="00F01E3F"/>
    <w:rsid w:val="00F0366C"/>
    <w:rsid w:val="00F03E8E"/>
    <w:rsid w:val="00F04AFF"/>
    <w:rsid w:val="00F05A39"/>
    <w:rsid w:val="00F11186"/>
    <w:rsid w:val="00F114B9"/>
    <w:rsid w:val="00F122DA"/>
    <w:rsid w:val="00F130E3"/>
    <w:rsid w:val="00F13CAB"/>
    <w:rsid w:val="00F1513D"/>
    <w:rsid w:val="00F159E1"/>
    <w:rsid w:val="00F178C3"/>
    <w:rsid w:val="00F2138E"/>
    <w:rsid w:val="00F21C68"/>
    <w:rsid w:val="00F229DB"/>
    <w:rsid w:val="00F22BB3"/>
    <w:rsid w:val="00F23D36"/>
    <w:rsid w:val="00F26DD2"/>
    <w:rsid w:val="00F273A6"/>
    <w:rsid w:val="00F3406A"/>
    <w:rsid w:val="00F345D6"/>
    <w:rsid w:val="00F34E25"/>
    <w:rsid w:val="00F40563"/>
    <w:rsid w:val="00F43B9B"/>
    <w:rsid w:val="00F45861"/>
    <w:rsid w:val="00F46D39"/>
    <w:rsid w:val="00F47686"/>
    <w:rsid w:val="00F50802"/>
    <w:rsid w:val="00F50D44"/>
    <w:rsid w:val="00F524FD"/>
    <w:rsid w:val="00F53061"/>
    <w:rsid w:val="00F56457"/>
    <w:rsid w:val="00F56E4C"/>
    <w:rsid w:val="00F615EB"/>
    <w:rsid w:val="00F619B7"/>
    <w:rsid w:val="00F61E07"/>
    <w:rsid w:val="00F6331F"/>
    <w:rsid w:val="00F63DD7"/>
    <w:rsid w:val="00F65219"/>
    <w:rsid w:val="00F65B47"/>
    <w:rsid w:val="00F6715F"/>
    <w:rsid w:val="00F721D4"/>
    <w:rsid w:val="00F72591"/>
    <w:rsid w:val="00F737AD"/>
    <w:rsid w:val="00F7484E"/>
    <w:rsid w:val="00F74946"/>
    <w:rsid w:val="00F76199"/>
    <w:rsid w:val="00F81653"/>
    <w:rsid w:val="00F81DEB"/>
    <w:rsid w:val="00F860F7"/>
    <w:rsid w:val="00F90F63"/>
    <w:rsid w:val="00F91607"/>
    <w:rsid w:val="00F921F5"/>
    <w:rsid w:val="00F9386D"/>
    <w:rsid w:val="00F93AA4"/>
    <w:rsid w:val="00F9566D"/>
    <w:rsid w:val="00F966E7"/>
    <w:rsid w:val="00FA014C"/>
    <w:rsid w:val="00FA023C"/>
    <w:rsid w:val="00FA0BB5"/>
    <w:rsid w:val="00FA291E"/>
    <w:rsid w:val="00FA642E"/>
    <w:rsid w:val="00FA6FCD"/>
    <w:rsid w:val="00FB0688"/>
    <w:rsid w:val="00FB3AB6"/>
    <w:rsid w:val="00FC289A"/>
    <w:rsid w:val="00FC29BA"/>
    <w:rsid w:val="00FC4511"/>
    <w:rsid w:val="00FC5554"/>
    <w:rsid w:val="00FC6E6F"/>
    <w:rsid w:val="00FD191B"/>
    <w:rsid w:val="00FD29C6"/>
    <w:rsid w:val="00FD35EB"/>
    <w:rsid w:val="00FD5CDD"/>
    <w:rsid w:val="00FD5DE2"/>
    <w:rsid w:val="00FD5E5E"/>
    <w:rsid w:val="00FD6190"/>
    <w:rsid w:val="00FD6A06"/>
    <w:rsid w:val="00FD7C2D"/>
    <w:rsid w:val="00FE2FBE"/>
    <w:rsid w:val="00FE412F"/>
    <w:rsid w:val="00FE4C6A"/>
    <w:rsid w:val="00FE546F"/>
    <w:rsid w:val="00FE5A17"/>
    <w:rsid w:val="00FE64A2"/>
    <w:rsid w:val="00FE6D6C"/>
    <w:rsid w:val="00FE7078"/>
    <w:rsid w:val="00FF45DF"/>
    <w:rsid w:val="00FF5257"/>
    <w:rsid w:val="00FF579D"/>
    <w:rsid w:val="00FF6353"/>
    <w:rsid w:val="00FF7980"/>
    <w:rsid w:val="00FF7B48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2C72"/>
  <w15:docId w15:val="{89AD52CE-8111-4DB3-BF21-39AF6D4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FB068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FB0688"/>
    <w:pPr>
      <w:widowControl w:val="0"/>
      <w:numPr>
        <w:numId w:val="3"/>
      </w:numPr>
      <w:spacing w:before="120" w:after="120" w:line="320" w:lineRule="exact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20"/>
  </w:style>
  <w:style w:type="paragraph" w:styleId="Footer">
    <w:name w:val="footer"/>
    <w:basedOn w:val="Normal"/>
    <w:link w:val="FooterChar"/>
    <w:uiPriority w:val="99"/>
    <w:unhideWhenUsed/>
    <w:rsid w:val="00E1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42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252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27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72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35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009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0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7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10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6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32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53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3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49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78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97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4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8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4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93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39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1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0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4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pshiresa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mpshiresab.org.uk/wp-content/uploads/4LSAB-Multi-Agency-Risk-Management-Framework-June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sshqadsl</dc:creator>
  <cp:lastModifiedBy>Elvy, David</cp:lastModifiedBy>
  <cp:revision>2</cp:revision>
  <dcterms:created xsi:type="dcterms:W3CDTF">2019-04-03T13:38:00Z</dcterms:created>
  <dcterms:modified xsi:type="dcterms:W3CDTF">2019-04-03T13:38:00Z</dcterms:modified>
</cp:coreProperties>
</file>